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228D7" w14:textId="424DD0B9" w:rsidR="001A57D0" w:rsidRPr="009871B6" w:rsidRDefault="00365CCA" w:rsidP="00DB3659">
      <w:pPr>
        <w:jc w:val="right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9871B6">
        <w:rPr>
          <w:rFonts w:ascii="Segoe UI" w:hAnsi="Segoe UI" w:cs="Segoe UI"/>
          <w:sz w:val="20"/>
          <w:szCs w:val="20"/>
        </w:rPr>
        <w:t xml:space="preserve">Warszawa, </w:t>
      </w:r>
      <w:r w:rsidR="00F0143D">
        <w:rPr>
          <w:rFonts w:ascii="Segoe UI" w:hAnsi="Segoe UI" w:cs="Segoe UI"/>
          <w:sz w:val="20"/>
          <w:szCs w:val="20"/>
        </w:rPr>
        <w:t>23</w:t>
      </w:r>
      <w:r w:rsidRPr="009871B6">
        <w:rPr>
          <w:rFonts w:ascii="Segoe UI" w:hAnsi="Segoe UI" w:cs="Segoe UI"/>
          <w:sz w:val="20"/>
          <w:szCs w:val="20"/>
        </w:rPr>
        <w:t xml:space="preserve"> </w:t>
      </w:r>
      <w:r w:rsidR="00E75754">
        <w:rPr>
          <w:rFonts w:ascii="Segoe UI" w:hAnsi="Segoe UI" w:cs="Segoe UI"/>
          <w:sz w:val="20"/>
          <w:szCs w:val="20"/>
        </w:rPr>
        <w:t>listopada</w:t>
      </w:r>
      <w:r w:rsidRPr="009871B6">
        <w:rPr>
          <w:rFonts w:ascii="Segoe UI" w:hAnsi="Segoe UI" w:cs="Segoe UI"/>
          <w:sz w:val="20"/>
          <w:szCs w:val="20"/>
        </w:rPr>
        <w:t xml:space="preserve"> 2023</w:t>
      </w:r>
    </w:p>
    <w:p w14:paraId="4265550F" w14:textId="123D5423" w:rsidR="00365CCA" w:rsidRDefault="00F975DF" w:rsidP="00DB365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Komentarz ekspercki</w:t>
      </w:r>
    </w:p>
    <w:p w14:paraId="11B67B08" w14:textId="77777777" w:rsidR="00547D47" w:rsidRDefault="00547D47" w:rsidP="00E75754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3468E18A" w14:textId="77777777" w:rsidR="002D7159" w:rsidRPr="002D7159" w:rsidRDefault="002D7159" w:rsidP="002D7159">
      <w:pPr>
        <w:jc w:val="center"/>
        <w:rPr>
          <w:rFonts w:ascii="Segoe UI" w:hAnsi="Segoe UI" w:cs="Segoe UI"/>
          <w:b/>
          <w:bCs/>
          <w:color w:val="1C447B"/>
          <w:sz w:val="32"/>
          <w:szCs w:val="32"/>
        </w:rPr>
      </w:pPr>
      <w:r w:rsidRPr="002D7159">
        <w:rPr>
          <w:rFonts w:ascii="Segoe UI" w:hAnsi="Segoe UI" w:cs="Segoe UI"/>
          <w:b/>
          <w:bCs/>
          <w:color w:val="1C447B"/>
          <w:sz w:val="32"/>
          <w:szCs w:val="32"/>
        </w:rPr>
        <w:t xml:space="preserve">Europejski Pakiet Farmaceutyczny – jakie zmiany niosą nowe regulacje? </w:t>
      </w:r>
    </w:p>
    <w:p w14:paraId="36A13CF5" w14:textId="5288505A" w:rsidR="002D7159" w:rsidRPr="002D7159" w:rsidRDefault="002D7159" w:rsidP="002D7159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D7159">
        <w:rPr>
          <w:rFonts w:ascii="Segoe UI" w:hAnsi="Segoe UI" w:cs="Segoe UI"/>
          <w:b/>
          <w:bCs/>
          <w:sz w:val="20"/>
          <w:szCs w:val="20"/>
        </w:rPr>
        <w:t>Europejski Pakiet Farmaceutyczny to kompleksowy zestaw przepisów i inicjatyw mających na celu regulację sektora farmaceutycznego w Unii Europejskiej, przyjęty przez Komisję Europejską w kwietniu 2023 roku. Jego zapisy obejmują wiele różnych zagadnień – dostępność leków, jakość i bezpieczeństwo produktów farmaceutycznych, badania kliniczne, rozwój innowacyjnych produktów leczniczych i wiele innych. Założenia nowych regulacji tłumaczy prof. dr hab. Marcin Czech, Kierownik Interdyscyplinarnych Studiów Menedżerów Farmacji w Szkole Biznesu Politechniki Warszawskiej</w:t>
      </w:r>
      <w:r w:rsidR="002938D6">
        <w:rPr>
          <w:rFonts w:ascii="Segoe UI" w:hAnsi="Segoe UI" w:cs="Segoe UI"/>
          <w:b/>
          <w:bCs/>
          <w:sz w:val="20"/>
          <w:szCs w:val="20"/>
        </w:rPr>
        <w:t xml:space="preserve">. </w:t>
      </w:r>
    </w:p>
    <w:p w14:paraId="62AC43F7" w14:textId="77777777" w:rsidR="002D7159" w:rsidRPr="002D7159" w:rsidRDefault="002D7159" w:rsidP="002D7159">
      <w:pPr>
        <w:jc w:val="both"/>
        <w:rPr>
          <w:rFonts w:ascii="Segoe UI" w:hAnsi="Segoe UI" w:cs="Segoe UI"/>
          <w:sz w:val="20"/>
          <w:szCs w:val="20"/>
        </w:rPr>
      </w:pPr>
      <w:r w:rsidRPr="002D7159">
        <w:rPr>
          <w:rFonts w:ascii="Segoe UI" w:hAnsi="Segoe UI" w:cs="Segoe UI"/>
          <w:sz w:val="20"/>
          <w:szCs w:val="20"/>
        </w:rPr>
        <w:t>Europejski Pakiet Farmaceutyczny to pierwszy od lat kompleksowy i złożony mechanizm regulujący kwestię ochrony patentowej i jej długości. Ta ochrona ma w różnych mechanizmach ma być tak regulowana, by rynek europejski stał się atrakcyjny dla wysokomarżowego biznesu farmaceutycznego, który w Unii Europejskiej jest odpowiedzialny za generację 1,4 % PKB UE. Z drugiej zaś strony Pakiet ma stanowić zespół zachęt, powodujących wyższą dostępność produktów leczniczych dla obywateli Unii Europejskiej.</w:t>
      </w:r>
    </w:p>
    <w:p w14:paraId="05B84715" w14:textId="77777777" w:rsidR="002D7159" w:rsidRPr="002D7159" w:rsidRDefault="002D7159" w:rsidP="002D7159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D7159">
        <w:rPr>
          <w:rFonts w:ascii="Segoe UI" w:hAnsi="Segoe UI" w:cs="Segoe UI"/>
          <w:b/>
          <w:bCs/>
          <w:sz w:val="20"/>
          <w:szCs w:val="20"/>
        </w:rPr>
        <w:t>Większa dostępność i „premie” za innowacyjność</w:t>
      </w:r>
    </w:p>
    <w:p w14:paraId="098B96C5" w14:textId="77777777" w:rsidR="002D7159" w:rsidRPr="002D7159" w:rsidRDefault="002D7159" w:rsidP="002D7159">
      <w:pPr>
        <w:jc w:val="both"/>
        <w:rPr>
          <w:rFonts w:ascii="Segoe UI" w:hAnsi="Segoe UI" w:cs="Segoe UI"/>
          <w:sz w:val="20"/>
          <w:szCs w:val="20"/>
        </w:rPr>
      </w:pPr>
      <w:r w:rsidRPr="002D7159">
        <w:rPr>
          <w:rFonts w:ascii="Segoe UI" w:hAnsi="Segoe UI" w:cs="Segoe UI"/>
          <w:sz w:val="20"/>
          <w:szCs w:val="20"/>
        </w:rPr>
        <w:t xml:space="preserve">Mechanizmy mają powodować, że dostępność lekowa będzie większa dla wszystkich obywateli Unii Europejskiej. Te zespoły zachęt zmierzają do tego, by nie było dużych dysproporcji w dostępie do nowoczesnych metod leczenia w poszczególnych państwach członkowskich (te czasy dostępu są dłuższe w tzw. Nowej Europie, czyli krajach Europy Środkowo-Wschodniej, a krótsze – np. w Niemczech, Francji czy wcześniej Wielkiej Brytanii). </w:t>
      </w:r>
    </w:p>
    <w:p w14:paraId="4B23C880" w14:textId="77777777" w:rsidR="002D7159" w:rsidRPr="002D7159" w:rsidRDefault="002D7159" w:rsidP="002D7159">
      <w:pPr>
        <w:jc w:val="both"/>
        <w:rPr>
          <w:rFonts w:ascii="Segoe UI" w:hAnsi="Segoe UI" w:cs="Segoe UI"/>
          <w:sz w:val="20"/>
          <w:szCs w:val="20"/>
        </w:rPr>
      </w:pPr>
      <w:r w:rsidRPr="002D7159">
        <w:rPr>
          <w:rFonts w:ascii="Segoe UI" w:hAnsi="Segoe UI" w:cs="Segoe UI"/>
          <w:sz w:val="20"/>
          <w:szCs w:val="20"/>
        </w:rPr>
        <w:t>Firmy mają być nagradzane za to, że złożą wnioski refundacyjne jednocześnie lub w miarę jednoczasowo we wszystkich państwach członkowskich Unii Europejskiej. Ma to im dawać dłuższy okres ochrony patentowej. Tak samo wynagradzane ma być prowadzenie badań porównawczych czy zaspokajanie niezaspokojonej potrzeby klinicznej – a więc gdy zostaje opracowany lek na schorzenie, na które nie było dotychczas lekarstwa, również w tym wypadku wydłuża się okres ochrony patentowej.</w:t>
      </w:r>
    </w:p>
    <w:p w14:paraId="36CFB489" w14:textId="77777777" w:rsidR="002D7159" w:rsidRPr="002D7159" w:rsidRDefault="002D7159" w:rsidP="002D7159">
      <w:pPr>
        <w:jc w:val="both"/>
        <w:rPr>
          <w:rFonts w:ascii="Segoe UI" w:hAnsi="Segoe UI" w:cs="Segoe UI"/>
          <w:sz w:val="20"/>
          <w:szCs w:val="20"/>
        </w:rPr>
      </w:pPr>
      <w:r w:rsidRPr="002D7159">
        <w:rPr>
          <w:rFonts w:ascii="Segoe UI" w:hAnsi="Segoe UI" w:cs="Segoe UI"/>
          <w:sz w:val="20"/>
          <w:szCs w:val="20"/>
        </w:rPr>
        <w:t xml:space="preserve">Z Europejskim Pakietem Farmaceutycznym wiąże się szereg innych regulacji, między innymi obejmujących wspólną ocenę technologii medycznych w zakresie klinicznym, która ma się odbywać jednorazowo w Unii Europejskiej, a potem kraje członkowskie mają wymieniać się efektami tych działań i ocen, a nie – jak dotychczas – wykonywana w każdym państwie członkowskim osobno. Brak tej multiplikacji ma ułatwić życie obu stronom: zarówno tej publicznej, jak i komercyjnym partnerom. </w:t>
      </w:r>
    </w:p>
    <w:p w14:paraId="594DC409" w14:textId="77777777" w:rsidR="002D7159" w:rsidRPr="002D7159" w:rsidRDefault="002D7159" w:rsidP="002D7159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D7159">
        <w:rPr>
          <w:rFonts w:ascii="Segoe UI" w:hAnsi="Segoe UI" w:cs="Segoe UI"/>
          <w:b/>
          <w:bCs/>
          <w:sz w:val="20"/>
          <w:szCs w:val="20"/>
        </w:rPr>
        <w:t>Bezpieczeństwo lekowe i uniezależnienie od innych rynków</w:t>
      </w:r>
    </w:p>
    <w:p w14:paraId="17666610" w14:textId="77777777" w:rsidR="002D7159" w:rsidRPr="002D7159" w:rsidRDefault="002D7159" w:rsidP="002D7159">
      <w:pPr>
        <w:jc w:val="both"/>
        <w:rPr>
          <w:rFonts w:ascii="Segoe UI" w:hAnsi="Segoe UI" w:cs="Segoe UI"/>
          <w:sz w:val="20"/>
          <w:szCs w:val="20"/>
        </w:rPr>
      </w:pPr>
      <w:r w:rsidRPr="002D7159">
        <w:rPr>
          <w:rFonts w:ascii="Segoe UI" w:hAnsi="Segoe UI" w:cs="Segoe UI"/>
          <w:sz w:val="20"/>
          <w:szCs w:val="20"/>
        </w:rPr>
        <w:t xml:space="preserve">W tym przypadku chodzi o stworzenie mechanizmów, dzięki którym Europa stanie się atrakcyjnym rynkiem do produkcji leków i substancji czynnych, odkrywania i rozwoju produktów, aby te fazy badań i rozwoju produktów były realizowane w Europie, a nie na coraz bardziej dominującym rynku Stanów Zjednoczonych oraz na rynkach wschodzących, jak na przykład w Chinach. </w:t>
      </w:r>
    </w:p>
    <w:p w14:paraId="4E6630A7" w14:textId="77777777" w:rsidR="002D7159" w:rsidRPr="002D7159" w:rsidRDefault="002D7159" w:rsidP="002D7159">
      <w:pPr>
        <w:jc w:val="both"/>
        <w:rPr>
          <w:rFonts w:ascii="Segoe UI" w:hAnsi="Segoe UI" w:cs="Segoe UI"/>
          <w:sz w:val="20"/>
          <w:szCs w:val="20"/>
        </w:rPr>
      </w:pPr>
      <w:r w:rsidRPr="002D7159">
        <w:rPr>
          <w:rFonts w:ascii="Segoe UI" w:hAnsi="Segoe UI" w:cs="Segoe UI"/>
          <w:sz w:val="20"/>
          <w:szCs w:val="20"/>
        </w:rPr>
        <w:lastRenderedPageBreak/>
        <w:t>Elementem pakietu i jedną z przyczyn forsowania tego typu rozwiązań jest oczywiście również bezpieczeństwo lekowe UE i jej obywateli. Ta dostępność jest odmienna na różnych poziomach kanału dystrybucji, w różnych krajach i często jest to uzależnione od sytuacji geopolitycznej. Jeśli na przykład jest tak, że produkcja którejś z substancji czynnych jest w 100 % przeniesiona do krajów azjatyckich, czyli na przykład do Chin i Indii, w razie różnego rodzaju perturbacji, konfliktów zbrojnych, zanieczyszczeń substancji lub choćby kolejnej fali pandemii, to stanowi to poważny kłopot dla obywateli Unii Europejskiej – zwłaszcza wówczas, gdy producenci nie dywersyfikują ryzyka.</w:t>
      </w:r>
    </w:p>
    <w:p w14:paraId="41656364" w14:textId="77777777" w:rsidR="002D7159" w:rsidRPr="002D7159" w:rsidRDefault="002D7159" w:rsidP="002D7159">
      <w:pPr>
        <w:jc w:val="both"/>
        <w:rPr>
          <w:rFonts w:ascii="Segoe UI" w:hAnsi="Segoe UI" w:cs="Segoe UI"/>
          <w:sz w:val="20"/>
          <w:szCs w:val="20"/>
        </w:rPr>
      </w:pPr>
      <w:r w:rsidRPr="002D7159">
        <w:rPr>
          <w:rFonts w:ascii="Segoe UI" w:hAnsi="Segoe UI" w:cs="Segoe UI"/>
          <w:sz w:val="20"/>
          <w:szCs w:val="20"/>
        </w:rPr>
        <w:t xml:space="preserve">Pakiet ma zatem na celu zwiększenie bezpieczeństwa lekowego w czysto fizycznym wymiarze, a więc zniwelowanie ryzyka niedostępności lub utrudnionej dostępności zarówno generycznych, jak i innowacyjnych produktów leczniczych. </w:t>
      </w:r>
    </w:p>
    <w:p w14:paraId="69A2BC4E" w14:textId="77777777" w:rsidR="002D7159" w:rsidRPr="002D7159" w:rsidRDefault="002D7159" w:rsidP="002D7159">
      <w:pPr>
        <w:jc w:val="both"/>
        <w:rPr>
          <w:rFonts w:ascii="Segoe UI" w:hAnsi="Segoe UI" w:cs="Segoe UI"/>
          <w:sz w:val="20"/>
          <w:szCs w:val="20"/>
        </w:rPr>
      </w:pPr>
      <w:r w:rsidRPr="002D7159">
        <w:rPr>
          <w:rFonts w:ascii="Segoe UI" w:hAnsi="Segoe UI" w:cs="Segoe UI"/>
          <w:b/>
          <w:bCs/>
          <w:sz w:val="20"/>
          <w:szCs w:val="20"/>
        </w:rPr>
        <w:t>Wdrożenie Europejskiego Pakietu Farmaceutycznego w Polsce</w:t>
      </w:r>
    </w:p>
    <w:p w14:paraId="231EF965" w14:textId="77777777" w:rsidR="002D7159" w:rsidRPr="002D7159" w:rsidRDefault="002D7159" w:rsidP="002D7159">
      <w:pPr>
        <w:jc w:val="both"/>
        <w:rPr>
          <w:rFonts w:ascii="Segoe UI" w:hAnsi="Segoe UI" w:cs="Segoe UI"/>
          <w:sz w:val="20"/>
          <w:szCs w:val="20"/>
        </w:rPr>
      </w:pPr>
      <w:r w:rsidRPr="002D7159">
        <w:rPr>
          <w:rFonts w:ascii="Segoe UI" w:hAnsi="Segoe UI" w:cs="Segoe UI"/>
          <w:sz w:val="20"/>
          <w:szCs w:val="20"/>
        </w:rPr>
        <w:t xml:space="preserve">Założenia pakietu farmaceutycznego opierają się na trzech filarach: Access (dostęp), </w:t>
      </w:r>
      <w:proofErr w:type="spellStart"/>
      <w:r w:rsidRPr="002D7159">
        <w:rPr>
          <w:rFonts w:ascii="Segoe UI" w:hAnsi="Segoe UI" w:cs="Segoe UI"/>
          <w:sz w:val="20"/>
          <w:szCs w:val="20"/>
        </w:rPr>
        <w:t>Availability</w:t>
      </w:r>
      <w:proofErr w:type="spellEnd"/>
      <w:r w:rsidRPr="002D7159">
        <w:rPr>
          <w:rFonts w:ascii="Segoe UI" w:hAnsi="Segoe UI" w:cs="Segoe UI"/>
          <w:sz w:val="20"/>
          <w:szCs w:val="20"/>
        </w:rPr>
        <w:t xml:space="preserve"> (dostępność) oraz </w:t>
      </w:r>
      <w:proofErr w:type="spellStart"/>
      <w:r w:rsidRPr="002D7159">
        <w:rPr>
          <w:rFonts w:ascii="Segoe UI" w:hAnsi="Segoe UI" w:cs="Segoe UI"/>
          <w:sz w:val="20"/>
          <w:szCs w:val="20"/>
        </w:rPr>
        <w:t>Affordability</w:t>
      </w:r>
      <w:proofErr w:type="spellEnd"/>
      <w:r w:rsidRPr="002D7159">
        <w:rPr>
          <w:rFonts w:ascii="Segoe UI" w:hAnsi="Segoe UI" w:cs="Segoe UI"/>
          <w:sz w:val="20"/>
          <w:szCs w:val="20"/>
        </w:rPr>
        <w:t xml:space="preserve"> (przystępność cenowa). Wszystko to prowadzi do dyskusji, co należy rozumieć pod każdym z tych określeń, ale również – których leków w pierwszej kolejności dotkną nowe mechanizmy (grupy leków wymienione są w regulacji). Oczywiście na ten moment wszystko jest bardzo dynamiczne. Polska, która wypracowała już wstępnie  polskie stanowisko – podobnie zresztą, jak wszystkie inne państwa członkowskie, na bazie konsultacji będzie wypracować unijny konsensus.</w:t>
      </w:r>
    </w:p>
    <w:p w14:paraId="7652513C" w14:textId="77777777" w:rsidR="002D7159" w:rsidRPr="002D7159" w:rsidRDefault="002D7159" w:rsidP="002D7159">
      <w:pPr>
        <w:jc w:val="both"/>
        <w:rPr>
          <w:rFonts w:ascii="Segoe UI" w:hAnsi="Segoe UI" w:cs="Segoe UI"/>
          <w:sz w:val="20"/>
          <w:szCs w:val="20"/>
        </w:rPr>
      </w:pPr>
      <w:r w:rsidRPr="002D7159">
        <w:rPr>
          <w:rFonts w:ascii="Segoe UI" w:hAnsi="Segoe UI" w:cs="Segoe UI"/>
          <w:sz w:val="20"/>
          <w:szCs w:val="20"/>
        </w:rPr>
        <w:t xml:space="preserve">Przyjęcie Pakietu przez Polskę oczywiście będzie wymagało uwzględnienia specyficznych potrzeb, możliwości i kontekstu. Szczególnie ważne jest jednak, aby proces wdrożenia Europejskiego Pakietu Farmaceutycznego był elastyczny i otwarty na dialog, uwzględniający racje wszystkich zainteresowanych stron: nie tylko producentów i organów regulacyjnych, ale również – a nawet przede wszystkim – pacjentów. </w:t>
      </w:r>
    </w:p>
    <w:p w14:paraId="4F0357D1" w14:textId="77777777" w:rsidR="002D7159" w:rsidRPr="002D7159" w:rsidRDefault="002D7159" w:rsidP="002D7159">
      <w:pPr>
        <w:jc w:val="both"/>
        <w:rPr>
          <w:rFonts w:ascii="Segoe UI" w:hAnsi="Segoe UI" w:cs="Segoe UI"/>
          <w:sz w:val="20"/>
          <w:szCs w:val="20"/>
        </w:rPr>
      </w:pPr>
    </w:p>
    <w:p w14:paraId="4E4CD1DB" w14:textId="77777777" w:rsidR="002D7159" w:rsidRPr="002D7159" w:rsidRDefault="002D7159" w:rsidP="002D7159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2D7159">
        <w:rPr>
          <w:rFonts w:ascii="Segoe UI" w:hAnsi="Segoe UI" w:cs="Segoe UI"/>
          <w:b/>
          <w:bCs/>
          <w:sz w:val="20"/>
          <w:szCs w:val="20"/>
        </w:rPr>
        <w:t>Prof. dr hab. Marcin Czech</w:t>
      </w:r>
    </w:p>
    <w:p w14:paraId="741B8BBB" w14:textId="77777777" w:rsidR="002D7159" w:rsidRPr="002D7159" w:rsidRDefault="002D7159" w:rsidP="002D7159">
      <w:pPr>
        <w:jc w:val="right"/>
        <w:rPr>
          <w:rFonts w:ascii="Segoe UI" w:hAnsi="Segoe UI" w:cs="Segoe UI"/>
          <w:sz w:val="20"/>
          <w:szCs w:val="20"/>
        </w:rPr>
      </w:pPr>
      <w:r w:rsidRPr="002D7159">
        <w:rPr>
          <w:rFonts w:ascii="Segoe UI" w:hAnsi="Segoe UI" w:cs="Segoe UI"/>
          <w:sz w:val="20"/>
          <w:szCs w:val="20"/>
        </w:rPr>
        <w:t xml:space="preserve">Kierownik Interdyscyplinarnych Studiów Menedżerów Farmacji </w:t>
      </w:r>
    </w:p>
    <w:p w14:paraId="5FCC8895" w14:textId="77777777" w:rsidR="002D7159" w:rsidRPr="002D7159" w:rsidRDefault="002D7159" w:rsidP="002D7159">
      <w:pPr>
        <w:jc w:val="right"/>
        <w:rPr>
          <w:rFonts w:ascii="Segoe UI" w:hAnsi="Segoe UI" w:cs="Segoe UI"/>
          <w:sz w:val="20"/>
          <w:szCs w:val="20"/>
        </w:rPr>
      </w:pPr>
      <w:r w:rsidRPr="002D7159">
        <w:rPr>
          <w:rFonts w:ascii="Segoe UI" w:hAnsi="Segoe UI" w:cs="Segoe UI"/>
          <w:sz w:val="20"/>
          <w:szCs w:val="20"/>
        </w:rPr>
        <w:t xml:space="preserve">w Szkole Biznesu Politechniki Warszawskiej </w:t>
      </w:r>
    </w:p>
    <w:p w14:paraId="44A09B83" w14:textId="77777777" w:rsidR="002D7159" w:rsidRPr="002D7159" w:rsidRDefault="002D7159" w:rsidP="002D7159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2D7159">
        <w:rPr>
          <w:rFonts w:ascii="Segoe UI" w:hAnsi="Segoe UI" w:cs="Segoe UI"/>
          <w:sz w:val="20"/>
          <w:szCs w:val="20"/>
        </w:rPr>
        <w:t xml:space="preserve">specjalista epidemiologii, specjalista zdrowia publicznego, </w:t>
      </w:r>
      <w:proofErr w:type="spellStart"/>
      <w:r w:rsidRPr="002D7159">
        <w:rPr>
          <w:rFonts w:ascii="Segoe UI" w:hAnsi="Segoe UI" w:cs="Segoe UI"/>
          <w:sz w:val="20"/>
          <w:szCs w:val="20"/>
        </w:rPr>
        <w:t>farmakoekonomista</w:t>
      </w:r>
      <w:proofErr w:type="spellEnd"/>
    </w:p>
    <w:p w14:paraId="579137B3" w14:textId="77777777" w:rsidR="002D7159" w:rsidRDefault="002D7159" w:rsidP="00E75754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4B5FC72D" w14:textId="77777777" w:rsidR="002D7159" w:rsidRDefault="002D7159" w:rsidP="00E75754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6BB1512F" w14:textId="77777777" w:rsidR="00E75754" w:rsidRDefault="00E75754" w:rsidP="00B340AA">
      <w:pPr>
        <w:spacing w:after="0" w:line="276" w:lineRule="auto"/>
        <w:jc w:val="both"/>
      </w:pPr>
    </w:p>
    <w:p w14:paraId="61BD4567" w14:textId="6199FDFA" w:rsidR="009871B6" w:rsidRDefault="009871B6" w:rsidP="00B340AA">
      <w:pPr>
        <w:spacing w:after="0" w:line="276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9871B6">
        <w:rPr>
          <w:rFonts w:ascii="Segoe UI" w:hAnsi="Segoe UI" w:cs="Segoe UI"/>
          <w:b/>
          <w:bCs/>
          <w:sz w:val="16"/>
          <w:szCs w:val="16"/>
        </w:rPr>
        <w:t>O Szkole Biznesu Politechniki Warszawskiej</w:t>
      </w:r>
    </w:p>
    <w:p w14:paraId="610162D2" w14:textId="77777777" w:rsidR="00D57534" w:rsidRPr="009871B6" w:rsidRDefault="00D57534" w:rsidP="00B340AA">
      <w:pPr>
        <w:spacing w:after="0" w:line="276" w:lineRule="auto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351C6280" w14:textId="77777777" w:rsidR="009871B6" w:rsidRDefault="009871B6" w:rsidP="00B340AA">
      <w:pPr>
        <w:spacing w:after="0" w:line="276" w:lineRule="auto"/>
        <w:jc w:val="both"/>
        <w:rPr>
          <w:rFonts w:ascii="Segoe UI" w:hAnsi="Segoe UI" w:cs="Segoe UI"/>
          <w:sz w:val="16"/>
          <w:szCs w:val="16"/>
        </w:rPr>
      </w:pPr>
      <w:r w:rsidRPr="009871B6">
        <w:rPr>
          <w:rFonts w:ascii="Segoe UI" w:hAnsi="Segoe UI" w:cs="Segoe UI"/>
          <w:sz w:val="16"/>
          <w:szCs w:val="16"/>
        </w:rPr>
        <w:t xml:space="preserve">Szkoła Biznesu PW powstała w 1991 roku jako wynik wspólnego przedsięwzięcia Politechniki Warszawskiej, HEC School of Management Paris, London Business School oraz NHH </w:t>
      </w:r>
      <w:proofErr w:type="spellStart"/>
      <w:r w:rsidRPr="009871B6">
        <w:rPr>
          <w:rFonts w:ascii="Segoe UI" w:hAnsi="Segoe UI" w:cs="Segoe UI"/>
          <w:sz w:val="16"/>
          <w:szCs w:val="16"/>
        </w:rPr>
        <w:t>Norwegian</w:t>
      </w:r>
      <w:proofErr w:type="spellEnd"/>
      <w:r w:rsidRPr="009871B6">
        <w:rPr>
          <w:rFonts w:ascii="Segoe UI" w:hAnsi="Segoe UI" w:cs="Segoe UI"/>
          <w:sz w:val="16"/>
          <w:szCs w:val="16"/>
        </w:rPr>
        <w:t xml:space="preserve"> School of </w:t>
      </w:r>
      <w:proofErr w:type="spellStart"/>
      <w:r w:rsidRPr="009871B6">
        <w:rPr>
          <w:rFonts w:ascii="Segoe UI" w:hAnsi="Segoe UI" w:cs="Segoe UI"/>
          <w:sz w:val="16"/>
          <w:szCs w:val="16"/>
        </w:rPr>
        <w:t>Economics</w:t>
      </w:r>
      <w:proofErr w:type="spellEnd"/>
      <w:r w:rsidRPr="009871B6">
        <w:rPr>
          <w:rFonts w:ascii="Segoe UI" w:hAnsi="Segoe UI" w:cs="Segoe UI"/>
          <w:sz w:val="16"/>
          <w:szCs w:val="16"/>
        </w:rPr>
        <w:t>. Szkoła od lat jest pełnoprawnym członkiem prestiżowej organizacji </w:t>
      </w:r>
      <w:proofErr w:type="spellStart"/>
      <w:r w:rsidRPr="009871B6">
        <w:rPr>
          <w:rFonts w:ascii="Segoe UI" w:hAnsi="Segoe UI" w:cs="Segoe UI"/>
          <w:sz w:val="16"/>
          <w:szCs w:val="16"/>
        </w:rPr>
        <w:t>European</w:t>
      </w:r>
      <w:proofErr w:type="spellEnd"/>
      <w:r w:rsidRPr="009871B6">
        <w:rPr>
          <w:rFonts w:ascii="Segoe UI" w:hAnsi="Segoe UI" w:cs="Segoe UI"/>
          <w:sz w:val="16"/>
          <w:szCs w:val="16"/>
        </w:rPr>
        <w:t xml:space="preserve"> Foundation for Management Development, utworzonej przez wiodące europejskie szkoły zarządzania.</w:t>
      </w:r>
    </w:p>
    <w:p w14:paraId="5BB080B2" w14:textId="77777777" w:rsidR="00D57534" w:rsidRPr="009871B6" w:rsidRDefault="00D57534" w:rsidP="00B340AA">
      <w:pPr>
        <w:spacing w:after="0" w:line="276" w:lineRule="auto"/>
        <w:jc w:val="both"/>
        <w:rPr>
          <w:rFonts w:ascii="Segoe UI" w:hAnsi="Segoe UI" w:cs="Segoe UI"/>
          <w:sz w:val="16"/>
          <w:szCs w:val="16"/>
        </w:rPr>
      </w:pPr>
    </w:p>
    <w:p w14:paraId="7B39A4AA" w14:textId="0A1A583B" w:rsidR="009871B6" w:rsidRDefault="009871B6" w:rsidP="00B340AA">
      <w:pPr>
        <w:spacing w:after="0" w:line="276" w:lineRule="auto"/>
        <w:jc w:val="both"/>
        <w:rPr>
          <w:rFonts w:ascii="Segoe UI" w:hAnsi="Segoe UI" w:cs="Segoe UI"/>
          <w:sz w:val="16"/>
          <w:szCs w:val="16"/>
        </w:rPr>
      </w:pPr>
      <w:r w:rsidRPr="009871B6">
        <w:rPr>
          <w:rFonts w:ascii="Segoe UI" w:hAnsi="Segoe UI" w:cs="Segoe UI"/>
          <w:sz w:val="16"/>
          <w:szCs w:val="16"/>
        </w:rPr>
        <w:t>Misją Szkoły jest oferowanie liderom biznesu i ekspertom najwyższej klasy praktycznych programów edukacyjnych, tworzonych w oparciu o najlepsze międzynarodowe praktyki, innowacyjne podejście oraz zgodnie z rozwojem technologicznym i zasadą pozytywnego wpływu społecznego.</w:t>
      </w:r>
    </w:p>
    <w:p w14:paraId="21941EA0" w14:textId="77777777" w:rsidR="00D57534" w:rsidRPr="009871B6" w:rsidRDefault="00D57534" w:rsidP="00B340AA">
      <w:pPr>
        <w:spacing w:after="0" w:line="276" w:lineRule="auto"/>
        <w:jc w:val="both"/>
        <w:rPr>
          <w:rFonts w:ascii="Segoe UI" w:hAnsi="Segoe UI" w:cs="Segoe UI"/>
          <w:sz w:val="16"/>
          <w:szCs w:val="16"/>
        </w:rPr>
      </w:pPr>
    </w:p>
    <w:p w14:paraId="6D6F0531" w14:textId="77777777" w:rsidR="009871B6" w:rsidRPr="009871B6" w:rsidRDefault="009871B6" w:rsidP="00B340AA">
      <w:pPr>
        <w:spacing w:line="276" w:lineRule="auto"/>
        <w:jc w:val="both"/>
        <w:rPr>
          <w:rFonts w:ascii="Segoe UI" w:hAnsi="Segoe UI" w:cs="Segoe UI"/>
          <w:b/>
          <w:color w:val="1F497D"/>
          <w:sz w:val="16"/>
          <w:szCs w:val="16"/>
        </w:rPr>
      </w:pPr>
      <w:r w:rsidRPr="009871B6">
        <w:rPr>
          <w:rFonts w:ascii="Segoe UI" w:hAnsi="Segoe UI" w:cs="Segoe UI"/>
          <w:b/>
          <w:color w:val="1F497D"/>
          <w:sz w:val="16"/>
          <w:szCs w:val="16"/>
        </w:rPr>
        <w:t>***</w:t>
      </w:r>
    </w:p>
    <w:p w14:paraId="57271752" w14:textId="77777777" w:rsidR="009871B6" w:rsidRPr="009871B6" w:rsidRDefault="009871B6" w:rsidP="00B340AA">
      <w:pPr>
        <w:spacing w:after="0" w:line="276" w:lineRule="auto"/>
        <w:jc w:val="both"/>
        <w:rPr>
          <w:rFonts w:ascii="Segoe UI" w:hAnsi="Segoe UI" w:cs="Segoe UI"/>
          <w:b/>
          <w:color w:val="1F497D"/>
          <w:sz w:val="16"/>
          <w:szCs w:val="16"/>
        </w:rPr>
      </w:pPr>
      <w:r w:rsidRPr="009871B6">
        <w:rPr>
          <w:rFonts w:ascii="Segoe UI" w:hAnsi="Segoe UI" w:cs="Segoe UI"/>
          <w:b/>
          <w:color w:val="1F497D"/>
          <w:sz w:val="16"/>
          <w:szCs w:val="16"/>
        </w:rPr>
        <w:lastRenderedPageBreak/>
        <w:t xml:space="preserve">Kontakt dla mediów: </w:t>
      </w:r>
    </w:p>
    <w:p w14:paraId="11B67BA2" w14:textId="77777777" w:rsidR="009871B6" w:rsidRPr="009871B6" w:rsidRDefault="009871B6" w:rsidP="00B340AA">
      <w:pPr>
        <w:spacing w:after="0" w:line="276" w:lineRule="auto"/>
        <w:jc w:val="both"/>
        <w:rPr>
          <w:rFonts w:ascii="Segoe UI" w:hAnsi="Segoe UI" w:cs="Segoe UI"/>
          <w:b/>
          <w:color w:val="1F497D"/>
          <w:sz w:val="16"/>
          <w:szCs w:val="16"/>
        </w:rPr>
      </w:pPr>
      <w:r w:rsidRPr="009871B6">
        <w:rPr>
          <w:rFonts w:ascii="Segoe UI" w:hAnsi="Segoe UI" w:cs="Segoe UI"/>
          <w:b/>
          <w:color w:val="1F497D"/>
          <w:sz w:val="16"/>
          <w:szCs w:val="16"/>
        </w:rPr>
        <w:t>Mariusz Jaroń</w:t>
      </w:r>
    </w:p>
    <w:p w14:paraId="20B1BD56" w14:textId="56CCB7CC" w:rsidR="009871B6" w:rsidRPr="009871B6" w:rsidRDefault="009E77D7" w:rsidP="00B340AA">
      <w:pPr>
        <w:spacing w:after="0" w:line="276" w:lineRule="auto"/>
        <w:jc w:val="both"/>
        <w:rPr>
          <w:rFonts w:ascii="Segoe UI" w:hAnsi="Segoe UI" w:cs="Segoe UI"/>
          <w:b/>
          <w:color w:val="1F497D"/>
          <w:sz w:val="16"/>
          <w:szCs w:val="16"/>
        </w:rPr>
      </w:pPr>
      <w:hyperlink r:id="rId8" w:history="1">
        <w:r w:rsidR="003F0209" w:rsidRPr="00C81923">
          <w:rPr>
            <w:rStyle w:val="Hipercze"/>
            <w:rFonts w:ascii="Segoe UI" w:hAnsi="Segoe UI" w:cs="Segoe UI"/>
            <w:b/>
            <w:sz w:val="16"/>
            <w:szCs w:val="16"/>
          </w:rPr>
          <w:t>m.jaron@brandpeak.pl</w:t>
        </w:r>
      </w:hyperlink>
      <w:r w:rsidR="009871B6" w:rsidRPr="009871B6">
        <w:rPr>
          <w:rFonts w:ascii="Segoe UI" w:hAnsi="Segoe UI" w:cs="Segoe UI"/>
          <w:b/>
          <w:color w:val="1F497D"/>
          <w:sz w:val="16"/>
          <w:szCs w:val="16"/>
        </w:rPr>
        <w:tab/>
      </w:r>
    </w:p>
    <w:p w14:paraId="68345C6E" w14:textId="772F3983" w:rsidR="001A57D0" w:rsidRDefault="009871B6" w:rsidP="00B340AA">
      <w:pPr>
        <w:spacing w:after="0" w:line="276" w:lineRule="auto"/>
        <w:jc w:val="both"/>
        <w:rPr>
          <w:rFonts w:ascii="Segoe UI" w:hAnsi="Segoe UI" w:cs="Segoe UI"/>
          <w:b/>
          <w:color w:val="1F497D"/>
          <w:sz w:val="16"/>
          <w:szCs w:val="16"/>
        </w:rPr>
      </w:pPr>
      <w:r w:rsidRPr="009871B6">
        <w:rPr>
          <w:rFonts w:ascii="Segoe UI" w:hAnsi="Segoe UI" w:cs="Segoe UI"/>
          <w:b/>
          <w:color w:val="1F497D"/>
          <w:sz w:val="16"/>
          <w:szCs w:val="16"/>
        </w:rPr>
        <w:t>794490680</w:t>
      </w:r>
    </w:p>
    <w:p w14:paraId="22B69019" w14:textId="77777777" w:rsidR="00A80EF7" w:rsidRDefault="00A80EF7" w:rsidP="00B340AA">
      <w:pPr>
        <w:spacing w:after="0" w:line="276" w:lineRule="auto"/>
        <w:jc w:val="both"/>
        <w:rPr>
          <w:rFonts w:ascii="Segoe UI" w:hAnsi="Segoe UI" w:cs="Segoe UI"/>
          <w:b/>
          <w:color w:val="1F497D"/>
          <w:sz w:val="16"/>
          <w:szCs w:val="16"/>
        </w:rPr>
      </w:pPr>
    </w:p>
    <w:p w14:paraId="5C32C829" w14:textId="77777777" w:rsidR="00A80EF7" w:rsidRDefault="00A80EF7" w:rsidP="00B340AA">
      <w:pPr>
        <w:spacing w:after="0" w:line="276" w:lineRule="auto"/>
        <w:jc w:val="both"/>
        <w:rPr>
          <w:rFonts w:ascii="Segoe UI" w:hAnsi="Segoe UI" w:cs="Segoe UI"/>
          <w:b/>
          <w:color w:val="1F497D"/>
          <w:sz w:val="16"/>
          <w:szCs w:val="16"/>
        </w:rPr>
      </w:pPr>
    </w:p>
    <w:p w14:paraId="5F160BC4" w14:textId="77777777" w:rsidR="00A80EF7" w:rsidRDefault="00A80EF7" w:rsidP="00B340AA">
      <w:pPr>
        <w:spacing w:after="0" w:line="276" w:lineRule="auto"/>
        <w:jc w:val="both"/>
        <w:rPr>
          <w:rFonts w:ascii="Segoe UI" w:hAnsi="Segoe UI" w:cs="Segoe UI"/>
          <w:b/>
          <w:color w:val="1F497D"/>
          <w:sz w:val="16"/>
          <w:szCs w:val="16"/>
        </w:rPr>
      </w:pPr>
    </w:p>
    <w:sectPr w:rsidR="00A80EF7" w:rsidSect="00153F26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5C9E0" w14:textId="77777777" w:rsidR="009E77D7" w:rsidRDefault="009E77D7" w:rsidP="00D84CB4">
      <w:pPr>
        <w:spacing w:after="0" w:line="240" w:lineRule="auto"/>
      </w:pPr>
      <w:r>
        <w:separator/>
      </w:r>
    </w:p>
  </w:endnote>
  <w:endnote w:type="continuationSeparator" w:id="0">
    <w:p w14:paraId="38DAEA21" w14:textId="77777777" w:rsidR="009E77D7" w:rsidRDefault="009E77D7" w:rsidP="00D8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5C38" w14:textId="77777777" w:rsidR="009E77D7" w:rsidRDefault="009E77D7" w:rsidP="00D84CB4">
      <w:pPr>
        <w:spacing w:after="0" w:line="240" w:lineRule="auto"/>
      </w:pPr>
      <w:r>
        <w:separator/>
      </w:r>
    </w:p>
  </w:footnote>
  <w:footnote w:type="continuationSeparator" w:id="0">
    <w:p w14:paraId="6B1EC83E" w14:textId="77777777" w:rsidR="009E77D7" w:rsidRDefault="009E77D7" w:rsidP="00D8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DFDC" w14:textId="77777777" w:rsidR="00D84CB4" w:rsidRDefault="00153F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0EBAE5" wp14:editId="6724A833">
          <wp:simplePos x="0" y="0"/>
          <wp:positionH relativeFrom="column">
            <wp:posOffset>-29845</wp:posOffset>
          </wp:positionH>
          <wp:positionV relativeFrom="paragraph">
            <wp:posOffset>-201930</wp:posOffset>
          </wp:positionV>
          <wp:extent cx="1825625" cy="647700"/>
          <wp:effectExtent l="0" t="0" r="3175" b="0"/>
          <wp:wrapTight wrapText="bothSides">
            <wp:wrapPolygon edited="0">
              <wp:start x="0" y="0"/>
              <wp:lineTo x="0" y="17788"/>
              <wp:lineTo x="8339" y="20329"/>
              <wp:lineTo x="8339" y="20965"/>
              <wp:lineTo x="21412" y="20965"/>
              <wp:lineTo x="21412" y="13976"/>
              <wp:lineTo x="17355" y="10165"/>
              <wp:lineTo x="11270" y="10165"/>
              <wp:lineTo x="16679" y="6353"/>
              <wp:lineTo x="17130" y="2541"/>
              <wp:lineTo x="1532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31DA87" w14:textId="77777777" w:rsidR="00D84CB4" w:rsidRDefault="00D84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B5D"/>
    <w:multiLevelType w:val="hybridMultilevel"/>
    <w:tmpl w:val="5C8E1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15B0"/>
    <w:multiLevelType w:val="hybridMultilevel"/>
    <w:tmpl w:val="642ED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30"/>
    <w:multiLevelType w:val="multilevel"/>
    <w:tmpl w:val="2B08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6"/>
        <w:szCs w:val="1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6"/>
        <w:szCs w:val="19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szCs w:val="1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6"/>
        <w:szCs w:val="1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6"/>
        <w:szCs w:val="19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6"/>
        <w:szCs w:val="1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6"/>
        <w:szCs w:val="19"/>
      </w:rPr>
    </w:lvl>
  </w:abstractNum>
  <w:abstractNum w:abstractNumId="3" w15:restartNumberingAfterBreak="0">
    <w:nsid w:val="777C14D6"/>
    <w:multiLevelType w:val="hybridMultilevel"/>
    <w:tmpl w:val="D8E0AC98"/>
    <w:lvl w:ilvl="0" w:tplc="93A2217C">
      <w:start w:val="1"/>
      <w:numFmt w:val="lowerLetter"/>
      <w:lvlText w:val="(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B5"/>
    <w:rsid w:val="000018B2"/>
    <w:rsid w:val="00004E76"/>
    <w:rsid w:val="00023592"/>
    <w:rsid w:val="00027602"/>
    <w:rsid w:val="000323F8"/>
    <w:rsid w:val="00032AD2"/>
    <w:rsid w:val="00036D88"/>
    <w:rsid w:val="0004384F"/>
    <w:rsid w:val="000442CF"/>
    <w:rsid w:val="00046D29"/>
    <w:rsid w:val="00054D21"/>
    <w:rsid w:val="0007139B"/>
    <w:rsid w:val="000C4AC0"/>
    <w:rsid w:val="000C73D4"/>
    <w:rsid w:val="000C7C32"/>
    <w:rsid w:val="000E3EF9"/>
    <w:rsid w:val="000F1016"/>
    <w:rsid w:val="00101C69"/>
    <w:rsid w:val="00101DC2"/>
    <w:rsid w:val="001110BB"/>
    <w:rsid w:val="00122685"/>
    <w:rsid w:val="00130A18"/>
    <w:rsid w:val="00135051"/>
    <w:rsid w:val="00135739"/>
    <w:rsid w:val="00153F26"/>
    <w:rsid w:val="001609D9"/>
    <w:rsid w:val="001749CC"/>
    <w:rsid w:val="001906C0"/>
    <w:rsid w:val="0019388D"/>
    <w:rsid w:val="001A2026"/>
    <w:rsid w:val="001A57D0"/>
    <w:rsid w:val="001B3C94"/>
    <w:rsid w:val="001C446B"/>
    <w:rsid w:val="001C7A70"/>
    <w:rsid w:val="001D1327"/>
    <w:rsid w:val="001E64AD"/>
    <w:rsid w:val="00201897"/>
    <w:rsid w:val="00224568"/>
    <w:rsid w:val="00236C96"/>
    <w:rsid w:val="00245B32"/>
    <w:rsid w:val="00250461"/>
    <w:rsid w:val="00253E1B"/>
    <w:rsid w:val="00264A27"/>
    <w:rsid w:val="00272E50"/>
    <w:rsid w:val="00275549"/>
    <w:rsid w:val="002762C6"/>
    <w:rsid w:val="002932D8"/>
    <w:rsid w:val="002938D6"/>
    <w:rsid w:val="002A170C"/>
    <w:rsid w:val="002A386C"/>
    <w:rsid w:val="002A4E1F"/>
    <w:rsid w:val="002C0898"/>
    <w:rsid w:val="002D3880"/>
    <w:rsid w:val="002D7159"/>
    <w:rsid w:val="002E384E"/>
    <w:rsid w:val="00307F04"/>
    <w:rsid w:val="00326BFE"/>
    <w:rsid w:val="003274A7"/>
    <w:rsid w:val="00327976"/>
    <w:rsid w:val="00332A10"/>
    <w:rsid w:val="003422B2"/>
    <w:rsid w:val="00350E78"/>
    <w:rsid w:val="00354467"/>
    <w:rsid w:val="00355695"/>
    <w:rsid w:val="00365CCA"/>
    <w:rsid w:val="003703A7"/>
    <w:rsid w:val="0037323F"/>
    <w:rsid w:val="00390574"/>
    <w:rsid w:val="003940D2"/>
    <w:rsid w:val="003B08AB"/>
    <w:rsid w:val="003B25D9"/>
    <w:rsid w:val="003D585B"/>
    <w:rsid w:val="003F0209"/>
    <w:rsid w:val="003F6073"/>
    <w:rsid w:val="004264F8"/>
    <w:rsid w:val="004323B6"/>
    <w:rsid w:val="004331EF"/>
    <w:rsid w:val="00434B65"/>
    <w:rsid w:val="0045401E"/>
    <w:rsid w:val="00460060"/>
    <w:rsid w:val="004A5708"/>
    <w:rsid w:val="004B3C71"/>
    <w:rsid w:val="004C6712"/>
    <w:rsid w:val="004D46C2"/>
    <w:rsid w:val="004F0EAC"/>
    <w:rsid w:val="0051001B"/>
    <w:rsid w:val="00532D4C"/>
    <w:rsid w:val="0053524D"/>
    <w:rsid w:val="005371C3"/>
    <w:rsid w:val="00542FC0"/>
    <w:rsid w:val="00547D47"/>
    <w:rsid w:val="00555C5D"/>
    <w:rsid w:val="00566988"/>
    <w:rsid w:val="00570FD5"/>
    <w:rsid w:val="00575AAB"/>
    <w:rsid w:val="00590764"/>
    <w:rsid w:val="00593A64"/>
    <w:rsid w:val="00594C28"/>
    <w:rsid w:val="00597E9D"/>
    <w:rsid w:val="005A2C84"/>
    <w:rsid w:val="005A2E7B"/>
    <w:rsid w:val="005A4ECA"/>
    <w:rsid w:val="005B09E8"/>
    <w:rsid w:val="005B686D"/>
    <w:rsid w:val="005C54F8"/>
    <w:rsid w:val="005D5E80"/>
    <w:rsid w:val="005E0E33"/>
    <w:rsid w:val="005F367D"/>
    <w:rsid w:val="00627DFE"/>
    <w:rsid w:val="006456F6"/>
    <w:rsid w:val="006602CE"/>
    <w:rsid w:val="006647B9"/>
    <w:rsid w:val="00673E8D"/>
    <w:rsid w:val="006B15ED"/>
    <w:rsid w:val="006B1D38"/>
    <w:rsid w:val="006B3732"/>
    <w:rsid w:val="006B48C5"/>
    <w:rsid w:val="006C4ED6"/>
    <w:rsid w:val="006D7CB7"/>
    <w:rsid w:val="006E3B44"/>
    <w:rsid w:val="006F29C8"/>
    <w:rsid w:val="00706E14"/>
    <w:rsid w:val="0071205E"/>
    <w:rsid w:val="00717F41"/>
    <w:rsid w:val="007411AA"/>
    <w:rsid w:val="00744590"/>
    <w:rsid w:val="00772E26"/>
    <w:rsid w:val="007A7E74"/>
    <w:rsid w:val="007B1948"/>
    <w:rsid w:val="007F1533"/>
    <w:rsid w:val="00800C0E"/>
    <w:rsid w:val="008105B4"/>
    <w:rsid w:val="00814C51"/>
    <w:rsid w:val="00824445"/>
    <w:rsid w:val="00865407"/>
    <w:rsid w:val="008711BB"/>
    <w:rsid w:val="00887516"/>
    <w:rsid w:val="00892D77"/>
    <w:rsid w:val="008E0B91"/>
    <w:rsid w:val="008F34A1"/>
    <w:rsid w:val="0092708C"/>
    <w:rsid w:val="009519FA"/>
    <w:rsid w:val="00954A39"/>
    <w:rsid w:val="00967110"/>
    <w:rsid w:val="00971F47"/>
    <w:rsid w:val="009731B8"/>
    <w:rsid w:val="009823AF"/>
    <w:rsid w:val="009871B6"/>
    <w:rsid w:val="00990E53"/>
    <w:rsid w:val="00994638"/>
    <w:rsid w:val="009A6935"/>
    <w:rsid w:val="009A784C"/>
    <w:rsid w:val="009B78C3"/>
    <w:rsid w:val="009D2963"/>
    <w:rsid w:val="009E44EC"/>
    <w:rsid w:val="009E77D7"/>
    <w:rsid w:val="009F38C5"/>
    <w:rsid w:val="00A01654"/>
    <w:rsid w:val="00A167E0"/>
    <w:rsid w:val="00A177E7"/>
    <w:rsid w:val="00A35E1B"/>
    <w:rsid w:val="00A62F5A"/>
    <w:rsid w:val="00A654B9"/>
    <w:rsid w:val="00A65A6F"/>
    <w:rsid w:val="00A80EF7"/>
    <w:rsid w:val="00A83089"/>
    <w:rsid w:val="00A953A5"/>
    <w:rsid w:val="00AC408B"/>
    <w:rsid w:val="00AD49F1"/>
    <w:rsid w:val="00B04805"/>
    <w:rsid w:val="00B071CD"/>
    <w:rsid w:val="00B11AF1"/>
    <w:rsid w:val="00B13B1A"/>
    <w:rsid w:val="00B15894"/>
    <w:rsid w:val="00B16228"/>
    <w:rsid w:val="00B20AF6"/>
    <w:rsid w:val="00B23522"/>
    <w:rsid w:val="00B279A5"/>
    <w:rsid w:val="00B30D34"/>
    <w:rsid w:val="00B340AA"/>
    <w:rsid w:val="00B6516C"/>
    <w:rsid w:val="00BA6C3D"/>
    <w:rsid w:val="00BC588E"/>
    <w:rsid w:val="00BD09D8"/>
    <w:rsid w:val="00BE0818"/>
    <w:rsid w:val="00BF12AA"/>
    <w:rsid w:val="00C1149F"/>
    <w:rsid w:val="00C2159F"/>
    <w:rsid w:val="00C32A79"/>
    <w:rsid w:val="00C42447"/>
    <w:rsid w:val="00C462FE"/>
    <w:rsid w:val="00C95FB5"/>
    <w:rsid w:val="00C971E1"/>
    <w:rsid w:val="00CA21E2"/>
    <w:rsid w:val="00CB0BA6"/>
    <w:rsid w:val="00CB0E42"/>
    <w:rsid w:val="00CB16FB"/>
    <w:rsid w:val="00CB1D23"/>
    <w:rsid w:val="00CC1576"/>
    <w:rsid w:val="00CD49F9"/>
    <w:rsid w:val="00CE2D65"/>
    <w:rsid w:val="00CF2346"/>
    <w:rsid w:val="00CF2F93"/>
    <w:rsid w:val="00CF73A8"/>
    <w:rsid w:val="00D0677C"/>
    <w:rsid w:val="00D10655"/>
    <w:rsid w:val="00D10692"/>
    <w:rsid w:val="00D136C9"/>
    <w:rsid w:val="00D32600"/>
    <w:rsid w:val="00D37E33"/>
    <w:rsid w:val="00D50574"/>
    <w:rsid w:val="00D51579"/>
    <w:rsid w:val="00D57534"/>
    <w:rsid w:val="00D74E93"/>
    <w:rsid w:val="00D80DFE"/>
    <w:rsid w:val="00D82159"/>
    <w:rsid w:val="00D84CB4"/>
    <w:rsid w:val="00D9116D"/>
    <w:rsid w:val="00D9401F"/>
    <w:rsid w:val="00D955F3"/>
    <w:rsid w:val="00DB3659"/>
    <w:rsid w:val="00DC6000"/>
    <w:rsid w:val="00DE7B16"/>
    <w:rsid w:val="00E12E13"/>
    <w:rsid w:val="00E42E18"/>
    <w:rsid w:val="00E43494"/>
    <w:rsid w:val="00E532B8"/>
    <w:rsid w:val="00E5718D"/>
    <w:rsid w:val="00E71C6C"/>
    <w:rsid w:val="00E729F3"/>
    <w:rsid w:val="00E75754"/>
    <w:rsid w:val="00E81CCD"/>
    <w:rsid w:val="00E8596F"/>
    <w:rsid w:val="00E902EC"/>
    <w:rsid w:val="00E9679F"/>
    <w:rsid w:val="00EB03B0"/>
    <w:rsid w:val="00EB0567"/>
    <w:rsid w:val="00EC1AB2"/>
    <w:rsid w:val="00EC2C1B"/>
    <w:rsid w:val="00ED2729"/>
    <w:rsid w:val="00EF7E81"/>
    <w:rsid w:val="00F0143D"/>
    <w:rsid w:val="00F15103"/>
    <w:rsid w:val="00F248A2"/>
    <w:rsid w:val="00F54F4C"/>
    <w:rsid w:val="00F64F0E"/>
    <w:rsid w:val="00F92829"/>
    <w:rsid w:val="00F965C7"/>
    <w:rsid w:val="00F975DF"/>
    <w:rsid w:val="00FB4D29"/>
    <w:rsid w:val="00FC3C16"/>
    <w:rsid w:val="00FC5C53"/>
    <w:rsid w:val="00FC71B7"/>
    <w:rsid w:val="00FD1E3C"/>
    <w:rsid w:val="00FF5948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CF98D"/>
  <w15:docId w15:val="{ACF56BE7-1ABE-4510-A9CF-F6DB7DEA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E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E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C1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CB4"/>
  </w:style>
  <w:style w:type="paragraph" w:styleId="Stopka">
    <w:name w:val="footer"/>
    <w:basedOn w:val="Normalny"/>
    <w:link w:val="StopkaZnak"/>
    <w:uiPriority w:val="99"/>
    <w:unhideWhenUsed/>
    <w:rsid w:val="00D8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CB4"/>
  </w:style>
  <w:style w:type="paragraph" w:styleId="Tekstdymka">
    <w:name w:val="Balloon Text"/>
    <w:basedOn w:val="Normalny"/>
    <w:link w:val="TekstdymkaZnak"/>
    <w:uiPriority w:val="99"/>
    <w:semiHidden/>
    <w:unhideWhenUsed/>
    <w:rsid w:val="0015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F2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45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88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101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7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hitespace-pre-wrap">
    <w:name w:val="whitespace-pre-wrap"/>
    <w:basedOn w:val="Normalny"/>
    <w:rsid w:val="0054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5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ron@brandpe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D842C-AE5B-4861-877C-DEC9909E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Comunicativo Comunicativo</dc:creator>
  <cp:lastModifiedBy>Mentel Aleksandra</cp:lastModifiedBy>
  <cp:revision>2</cp:revision>
  <cp:lastPrinted>2019-03-28T13:21:00Z</cp:lastPrinted>
  <dcterms:created xsi:type="dcterms:W3CDTF">2024-03-13T14:24:00Z</dcterms:created>
  <dcterms:modified xsi:type="dcterms:W3CDTF">2024-03-13T14:24:00Z</dcterms:modified>
</cp:coreProperties>
</file>