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85E5D" w14:textId="77777777" w:rsidR="00DB4849" w:rsidRPr="002345A8" w:rsidRDefault="00DB4849" w:rsidP="00C0408C">
      <w:pPr>
        <w:spacing w:after="0" w:line="240" w:lineRule="auto"/>
        <w:jc w:val="center"/>
        <w:rPr>
          <w:rFonts w:ascii="Segoe UI" w:hAnsi="Segoe UI" w:cs="Segoe UI"/>
          <w:b/>
          <w:bCs/>
          <w:color w:val="2F5496" w:themeColor="accent1" w:themeShade="BF"/>
          <w:sz w:val="32"/>
          <w:szCs w:val="32"/>
        </w:rPr>
      </w:pPr>
      <w:r w:rsidRPr="002345A8">
        <w:rPr>
          <w:rFonts w:ascii="Segoe UI" w:hAnsi="Segoe UI" w:cs="Segoe UI"/>
          <w:b/>
          <w:bCs/>
          <w:color w:val="2F5496" w:themeColor="accent1" w:themeShade="BF"/>
          <w:sz w:val="32"/>
          <w:szCs w:val="32"/>
        </w:rPr>
        <w:t>Dane w Przemyśle 4.0 - jakie są problemy związane z ich przetwarzaniem i zabezpieczaniem?</w:t>
      </w:r>
    </w:p>
    <w:p w14:paraId="5838FA2E" w14:textId="77777777" w:rsidR="00DB4849" w:rsidRPr="002345A8" w:rsidRDefault="00DB4849" w:rsidP="00DB4849">
      <w:pPr>
        <w:spacing w:after="0" w:line="240" w:lineRule="auto"/>
        <w:jc w:val="both"/>
        <w:rPr>
          <w:rFonts w:eastAsia="Times New Roman" w:cstheme="minorHAnsi"/>
          <w:color w:val="111111"/>
          <w:sz w:val="20"/>
          <w:szCs w:val="20"/>
          <w:lang w:eastAsia="pl-PL"/>
        </w:rPr>
      </w:pPr>
    </w:p>
    <w:p w14:paraId="1CE2908D" w14:textId="77777777" w:rsidR="00DB4849" w:rsidRPr="002345A8" w:rsidRDefault="00DB4849" w:rsidP="00DB484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45A8">
        <w:rPr>
          <w:rFonts w:cstheme="minorHAnsi"/>
          <w:b/>
          <w:bCs/>
          <w:sz w:val="20"/>
          <w:szCs w:val="20"/>
        </w:rPr>
        <w:t>Przemysł 4.0 to czwarta rewolucja przemysłowa oparta na zdecentralizowanej produkcji poprzez wspólne wykorzystywanie zasobów w celu osiągnięcia produkcji na żądanie i efektywności zasobowej. Dane odgrywają kluczową rolę w Przemyśle 4.0, ponieważ umożliwiają lepsze zarządzanie procesami, produktami i usługami poprzez analizę danych. </w:t>
      </w:r>
      <w:hyperlink r:id="rId8" w:tgtFrame="_blank" w:history="1">
        <w:r w:rsidRPr="002345A8">
          <w:rPr>
            <w:rStyle w:val="Hipercze"/>
            <w:rFonts w:cstheme="minorHAnsi"/>
            <w:b/>
            <w:bCs/>
            <w:color w:val="auto"/>
            <w:sz w:val="20"/>
            <w:szCs w:val="20"/>
            <w:u w:val="none"/>
          </w:rPr>
          <w:t>Obecność danych w Przemyśle 4.0 wiąże się jednak również z wieloma problemami i wyzwaniami dotyczącymi ich przetwarzania i zabezpieczania.</w:t>
        </w:r>
      </w:hyperlink>
      <w:r w:rsidRPr="002345A8">
        <w:rPr>
          <w:rFonts w:cstheme="minorHAnsi"/>
          <w:b/>
          <w:bCs/>
          <w:sz w:val="20"/>
          <w:szCs w:val="20"/>
        </w:rPr>
        <w:t xml:space="preserve"> </w:t>
      </w:r>
    </w:p>
    <w:p w14:paraId="3AD042E5" w14:textId="77777777" w:rsidR="00DB4849" w:rsidRPr="002345A8" w:rsidRDefault="00DB4849" w:rsidP="00DB484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A32494" w14:textId="77777777" w:rsidR="00DB4849" w:rsidRPr="002345A8" w:rsidRDefault="00DB4849" w:rsidP="00DB484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45A8">
        <w:rPr>
          <w:rFonts w:cstheme="minorHAnsi"/>
          <w:sz w:val="20"/>
          <w:szCs w:val="20"/>
        </w:rPr>
        <w:t xml:space="preserve">Po pierwsze, to zwiększone ryzyko cyberataków i naruszeń danych ze strony hakerów lub konkurentów, którzy mogą wykorzystać podatność systemów lub ludzi do uzyskania dostępu do poufnych informacji lub zakłócenia działania maszyn i urządzeń. Po drugie, poważny problem stanowi brak wystarczających standardów i regulacji dotyczących bezpieczeństwa danych w Przemyśle 4.0, co utrudnia zapewnienie spójności i interoperacyjności między różnymi podmiotami i technologiami zaangażowanymi w procesy produkcyjne. </w:t>
      </w:r>
    </w:p>
    <w:p w14:paraId="27BF365B" w14:textId="77777777" w:rsidR="00DB4849" w:rsidRPr="002345A8" w:rsidRDefault="00DB4849" w:rsidP="00DB484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950CCF" w14:textId="77777777" w:rsidR="00DB4849" w:rsidRPr="002345A8" w:rsidRDefault="00DB4849" w:rsidP="00DB484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345A8">
        <w:rPr>
          <w:rFonts w:cstheme="minorHAnsi"/>
          <w:sz w:val="20"/>
          <w:szCs w:val="20"/>
        </w:rPr>
        <w:t>Po trzecie, należy być świadomym, że pracownikom może brakować odpowiednich umiejętności oraz świadomości na temat zagrożeń dla cyberbezpieczeństwa oraz dobrych praktyk w zakresie ochrony danych; może to prowadzić do błędów natury ludzkiej lub po prostu nieumyślnego ujawnienia danych. I wreszcie po czwarte: gromadzenie, przechowywanie, przetwarzanie ogromnej ilości danych generowanych przez różne źródła w czasie rzeczywistym jest ogromnym wyzwaniem technicznym i organizacyjnym – podobnie zresztą, jak zapewnienie ich jakości, integralności oraz dostępności.</w:t>
      </w:r>
    </w:p>
    <w:p w14:paraId="0A19538B" w14:textId="77777777" w:rsidR="00DB4849" w:rsidRPr="002345A8" w:rsidRDefault="00DB4849" w:rsidP="00DB484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8A6B62B" w14:textId="77777777" w:rsidR="00DB4849" w:rsidRPr="002345A8" w:rsidRDefault="00DB4849" w:rsidP="00DB484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45A8">
        <w:rPr>
          <w:rFonts w:cstheme="minorHAnsi"/>
          <w:b/>
          <w:bCs/>
          <w:sz w:val="20"/>
          <w:szCs w:val="20"/>
        </w:rPr>
        <w:t>Jakość i wiarygodność danych</w:t>
      </w:r>
    </w:p>
    <w:p w14:paraId="7EA74BB6" w14:textId="77777777" w:rsidR="00DB4849" w:rsidRPr="002345A8" w:rsidRDefault="00DB4849" w:rsidP="00DB484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31078E1" w14:textId="77777777" w:rsidR="00DB4849" w:rsidRPr="002345A8" w:rsidRDefault="00DB4849" w:rsidP="00DB4849">
      <w:pPr>
        <w:spacing w:after="0" w:line="240" w:lineRule="auto"/>
        <w:jc w:val="both"/>
        <w:rPr>
          <w:rFonts w:eastAsia="Times New Roman" w:cstheme="minorHAnsi"/>
          <w:color w:val="111111"/>
          <w:sz w:val="20"/>
          <w:szCs w:val="20"/>
          <w:lang w:eastAsia="pl-PL"/>
        </w:rPr>
      </w:pPr>
      <w:hyperlink r:id="rId9" w:tgtFrame="_blank" w:history="1">
        <w:r w:rsidRPr="002345A8">
          <w:rPr>
            <w:rStyle w:val="Hipercze"/>
            <w:rFonts w:cstheme="minorHAnsi"/>
            <w:color w:val="auto"/>
            <w:sz w:val="20"/>
            <w:szCs w:val="20"/>
            <w:u w:val="none"/>
          </w:rPr>
          <w:t xml:space="preserve">Dane w Przemyśle 4.0 są bardzo ważne, ponieważ napędzają technologie i procesy produkcyjne oparte na </w:t>
        </w:r>
        <w:proofErr w:type="spellStart"/>
        <w:r w:rsidRPr="002345A8">
          <w:rPr>
            <w:rStyle w:val="Hipercze"/>
            <w:rFonts w:cstheme="minorHAnsi"/>
            <w:color w:val="auto"/>
            <w:sz w:val="20"/>
            <w:szCs w:val="20"/>
            <w:u w:val="none"/>
          </w:rPr>
          <w:t>cybersystemach</w:t>
        </w:r>
        <w:proofErr w:type="spellEnd"/>
        <w:r w:rsidRPr="002345A8">
          <w:rPr>
            <w:rStyle w:val="Hipercze"/>
            <w:rFonts w:cstheme="minorHAnsi"/>
            <w:color w:val="auto"/>
            <w:sz w:val="20"/>
            <w:szCs w:val="20"/>
            <w:u w:val="none"/>
          </w:rPr>
          <w:t xml:space="preserve"> fizycznych i Internecie Rzeczy</w:t>
        </w:r>
      </w:hyperlink>
      <w:r w:rsidRPr="002345A8">
        <w:rPr>
          <w:rFonts w:cstheme="minorHAnsi"/>
          <w:sz w:val="20"/>
          <w:szCs w:val="20"/>
        </w:rPr>
        <w:t xml:space="preserve">. </w:t>
      </w:r>
      <w:r w:rsidRPr="002345A8">
        <w:rPr>
          <w:rFonts w:eastAsia="Times New Roman" w:cstheme="minorHAnsi"/>
          <w:color w:val="111111"/>
          <w:sz w:val="20"/>
          <w:szCs w:val="20"/>
          <w:lang w:eastAsia="pl-PL"/>
        </w:rPr>
        <w:t xml:space="preserve">Aby zapewnić jakość i wiarygodność danych generowanych przez maszyny przemysłowe, należy podjąć kilka działań na różnych etapach procesu danych, m.in. ustalenie, jak poprawa jakości danych wpływa na decyzje biznesowe, zidentyfikowanie KPI związanych z danymi, zastosowanie najlepszych praktyk w zakresie zarządzania danymi i stosowanie narzędzi do monitorowania czy walidacji jakości danych na bieżąco. Ogromne znaczenie mają również zapewnienie bezpieczeństwa danych oraz zgodności z przepisami poprzez stosowanie odpowiednich mechanizmów uwierzytelniania, szyfrowania i audytu, a także zapewnienie tzw. niezawodności danych, osiąganej za sprawą eliminowania błędów, braków czy niespójności w źródłach danych i potokach przetwarzania. </w:t>
      </w:r>
    </w:p>
    <w:p w14:paraId="59FA4201" w14:textId="77777777" w:rsidR="00DB4849" w:rsidRPr="002345A8" w:rsidRDefault="00DB4849" w:rsidP="00DB4849">
      <w:pPr>
        <w:spacing w:after="0" w:line="240" w:lineRule="auto"/>
        <w:jc w:val="both"/>
        <w:rPr>
          <w:rFonts w:eastAsia="Times New Roman" w:cstheme="minorHAnsi"/>
          <w:color w:val="111111"/>
          <w:sz w:val="20"/>
          <w:szCs w:val="20"/>
          <w:lang w:eastAsia="pl-PL"/>
        </w:rPr>
      </w:pPr>
    </w:p>
    <w:p w14:paraId="70C2FA59" w14:textId="77777777" w:rsidR="00DB4849" w:rsidRPr="002345A8" w:rsidRDefault="00DB4849" w:rsidP="00DB4849">
      <w:pPr>
        <w:spacing w:after="0" w:line="240" w:lineRule="auto"/>
        <w:jc w:val="both"/>
        <w:rPr>
          <w:rFonts w:eastAsia="Times New Roman" w:cstheme="minorHAnsi"/>
          <w:color w:val="111111"/>
          <w:sz w:val="20"/>
          <w:szCs w:val="20"/>
          <w:lang w:eastAsia="pl-PL"/>
        </w:rPr>
      </w:pPr>
      <w:r w:rsidRPr="002345A8">
        <w:rPr>
          <w:rFonts w:eastAsia="Times New Roman" w:cstheme="minorHAnsi"/>
          <w:color w:val="111111"/>
          <w:sz w:val="20"/>
          <w:szCs w:val="20"/>
          <w:lang w:eastAsia="pl-PL"/>
        </w:rPr>
        <w:t>Zarządzanie danymi to proces planowania, zbierania, przechowywania, organizowania, udostępniania i wykorzystywania danych w celu osiągnięcia celów biznesowych. </w:t>
      </w:r>
      <w:hyperlink r:id="rId10" w:tgtFrame="_blank" w:history="1">
        <w:r w:rsidRPr="002345A8">
          <w:rPr>
            <w:rStyle w:val="Hipercze"/>
            <w:rFonts w:eastAsia="Times New Roman" w:cstheme="minorHAnsi"/>
            <w:color w:val="111111"/>
            <w:sz w:val="20"/>
            <w:szCs w:val="20"/>
            <w:u w:val="none"/>
            <w:lang w:eastAsia="pl-PL"/>
          </w:rPr>
          <w:t>Niektóre z najlepszych praktyk w zakresie zarządzania danymi to</w:t>
        </w:r>
      </w:hyperlink>
      <w:r w:rsidRPr="002345A8">
        <w:rPr>
          <w:rFonts w:eastAsia="Times New Roman" w:cstheme="minorHAnsi"/>
          <w:color w:val="111111"/>
          <w:sz w:val="20"/>
          <w:szCs w:val="20"/>
          <w:lang w:eastAsia="pl-PL"/>
        </w:rPr>
        <w:t xml:space="preserve"> zbudowanie silnych konwencji nazewnictwa i katalogowania plików, aby łatwo odnajdywać dane, staranne rozważenie metadanych dla zbiorów danych, czyli opisowych informacji o danych, takich jak źródło, format czy data utworzenia. W zarządzaniu danymi kluczową praktyką jest zapewnienie bezpiecznego i trwałego przechowywania danych z uwzględnieniem kosztów i dostępności, dokumentowanie procesów i procedur związanych z danymi oraz zmiany i aktualizacje wprowadzane w tych danych. </w:t>
      </w:r>
    </w:p>
    <w:p w14:paraId="030B2E4F" w14:textId="77777777" w:rsidR="00DB4849" w:rsidRPr="002345A8" w:rsidRDefault="00DB4849" w:rsidP="00DB4849">
      <w:pPr>
        <w:spacing w:after="0" w:line="240" w:lineRule="auto"/>
        <w:jc w:val="both"/>
        <w:rPr>
          <w:rFonts w:eastAsia="Times New Roman" w:cstheme="minorHAnsi"/>
          <w:color w:val="111111"/>
          <w:sz w:val="20"/>
          <w:szCs w:val="20"/>
          <w:lang w:eastAsia="pl-PL"/>
        </w:rPr>
      </w:pPr>
    </w:p>
    <w:p w14:paraId="5EFC377B" w14:textId="77777777" w:rsidR="00DB4849" w:rsidRPr="002345A8" w:rsidRDefault="00DB4849" w:rsidP="00DB4849">
      <w:pPr>
        <w:spacing w:after="0" w:line="240" w:lineRule="auto"/>
        <w:jc w:val="both"/>
        <w:rPr>
          <w:rFonts w:eastAsia="Times New Roman" w:cstheme="minorHAnsi"/>
          <w:color w:val="111111"/>
          <w:sz w:val="20"/>
          <w:szCs w:val="20"/>
          <w:lang w:eastAsia="pl-PL"/>
        </w:rPr>
      </w:pPr>
      <w:r w:rsidRPr="002345A8">
        <w:rPr>
          <w:rFonts w:eastAsia="Times New Roman" w:cstheme="minorHAnsi"/>
          <w:color w:val="111111"/>
          <w:sz w:val="20"/>
          <w:szCs w:val="20"/>
          <w:lang w:eastAsia="pl-PL"/>
        </w:rPr>
        <w:t>Dla efektywnego i optymalnego zarządzania danymi w organizacji warto też zobowiązać się do wprowadzenia tzw. kultury danych w organizacji i promować odpowiedzialność i współpracę pomiędzy użytkownikami tych danych. Wprowadzenie standardów kontroli jakości i zasad ochron danych osobowych może z kolei zwiększyć zaufanie do jakości danych oraz ich bezpieczeństwa i prywatności. W optymalnym zarządzaniu danymi niezwykle pomocne jest wysokiej jakości dedykowane oprogramowanie, które ułatwia integrację, analizę i wizualizację danych. Wiąże się to oczywiście z koniecznością poniesienia nakładów inwestycyjnych.</w:t>
      </w:r>
    </w:p>
    <w:p w14:paraId="0CE95F07" w14:textId="77777777" w:rsidR="00DB4849" w:rsidRPr="002345A8" w:rsidRDefault="00DB4849" w:rsidP="00DB484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111111"/>
          <w:sz w:val="20"/>
          <w:szCs w:val="20"/>
          <w:lang w:eastAsia="pl-PL"/>
        </w:rPr>
      </w:pPr>
      <w:hyperlink r:id="rId11" w:tgtFrame="_blank" w:history="1">
        <w:r w:rsidRPr="002345A8">
          <w:rPr>
            <w:rStyle w:val="Hipercze"/>
            <w:rFonts w:cstheme="minorHAnsi"/>
            <w:b/>
            <w:bCs/>
            <w:color w:val="auto"/>
            <w:sz w:val="20"/>
            <w:szCs w:val="20"/>
            <w:u w:val="none"/>
          </w:rPr>
          <w:t>Jak chronić dane przed cyberatakami i naruszeniami prywatności</w:t>
        </w:r>
      </w:hyperlink>
      <w:r w:rsidRPr="002345A8">
        <w:rPr>
          <w:rFonts w:cstheme="minorHAnsi"/>
          <w:b/>
          <w:bCs/>
          <w:sz w:val="20"/>
          <w:szCs w:val="20"/>
        </w:rPr>
        <w:t>?</w:t>
      </w:r>
    </w:p>
    <w:p w14:paraId="6FEF44E4" w14:textId="714D3949" w:rsidR="00DB4849" w:rsidRDefault="00DB4849" w:rsidP="00DB484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sz w:val="20"/>
          <w:szCs w:val="20"/>
          <w:lang w:eastAsia="pl-PL"/>
        </w:rPr>
      </w:pPr>
      <w:r w:rsidRPr="002345A8">
        <w:rPr>
          <w:rFonts w:cstheme="minorHAnsi"/>
          <w:sz w:val="20"/>
          <w:szCs w:val="20"/>
        </w:rPr>
        <w:t xml:space="preserve">W czasach, gdy </w:t>
      </w:r>
      <w:proofErr w:type="spellStart"/>
      <w:r w:rsidRPr="002345A8">
        <w:rPr>
          <w:rFonts w:cstheme="minorHAnsi"/>
          <w:sz w:val="20"/>
          <w:szCs w:val="20"/>
        </w:rPr>
        <w:t>cyberbezpieczeństwo</w:t>
      </w:r>
      <w:proofErr w:type="spellEnd"/>
      <w:r w:rsidRPr="002345A8">
        <w:rPr>
          <w:rFonts w:cstheme="minorHAnsi"/>
          <w:sz w:val="20"/>
          <w:szCs w:val="20"/>
        </w:rPr>
        <w:t xml:space="preserve"> odgrywa coraz większą rolę w otaczającej nas rzeczywistości – również tej biznesowej – aspektu ochrony przedsiębiorstwa przed cyberatakami i naruszeniami prywatności absolutnie nie </w:t>
      </w:r>
      <w:r w:rsidRPr="002345A8">
        <w:rPr>
          <w:rFonts w:cstheme="minorHAnsi"/>
          <w:sz w:val="20"/>
          <w:szCs w:val="20"/>
        </w:rPr>
        <w:lastRenderedPageBreak/>
        <w:t xml:space="preserve">należy ignorować. Zabezpieczenie danych przed zagrożeniami jest możliwe za pomocą różnych rozwiązań i narzędzi – począwszy od szkoleń czy działań mających na celu zwiększenie świadomości pracowników na temat zagrożeń cyberbezpieczeństwa i dobrych praktyk w zakresie ochrony danych, przez stosowanie zabezpieczeń antywirusowych, firewalli czy VPN na wszystkich urządzeniach mających dostęp do danych, </w:t>
      </w:r>
      <w:r w:rsidRPr="002345A8">
        <w:rPr>
          <w:rFonts w:eastAsia="Times New Roman" w:cstheme="minorHAnsi"/>
          <w:color w:val="111111"/>
          <w:sz w:val="20"/>
          <w:szCs w:val="20"/>
          <w:lang w:eastAsia="pl-PL"/>
        </w:rPr>
        <w:t>nowoczesne tworzenie kopii zapasowych i szyfrowanie, ocenę środków bezpieczeństwa danych stosowanych przez podmioty trzecie (np. partnerów biznesowych czy dostawców usług chmurowych), wprowadzenie surowych zasad dotyczących bezpieczeństwa haseł, terminową instalację poprawek i aktualizacji systemu w celu naprawiania luk bezpieczeństwa aż po ograniczenie dostępu do wrażliwych danych poprzez stosowanie zasad minimalnych uprawnień i segregacji obowiązków dla użytkowników i systemów.</w:t>
      </w:r>
    </w:p>
    <w:p w14:paraId="70AB1762" w14:textId="65C311FC" w:rsidR="002345A8" w:rsidRPr="00C0408C" w:rsidRDefault="002345A8" w:rsidP="00C0408C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b/>
          <w:bCs/>
          <w:color w:val="4472C4" w:themeColor="accent1"/>
          <w:sz w:val="20"/>
          <w:szCs w:val="20"/>
          <w:lang w:eastAsia="pl-PL"/>
        </w:rPr>
      </w:pPr>
      <w:r>
        <w:rPr>
          <w:rFonts w:eastAsia="Times New Roman" w:cstheme="minorHAnsi"/>
          <w:color w:val="111111"/>
          <w:sz w:val="20"/>
          <w:szCs w:val="20"/>
          <w:lang w:eastAsia="pl-PL"/>
        </w:rPr>
        <w:tab/>
      </w:r>
      <w:r>
        <w:rPr>
          <w:rFonts w:eastAsia="Times New Roman" w:cstheme="minorHAnsi"/>
          <w:color w:val="111111"/>
          <w:sz w:val="20"/>
          <w:szCs w:val="20"/>
          <w:lang w:eastAsia="pl-PL"/>
        </w:rPr>
        <w:tab/>
      </w:r>
      <w:r>
        <w:rPr>
          <w:rFonts w:eastAsia="Times New Roman" w:cstheme="minorHAnsi"/>
          <w:color w:val="111111"/>
          <w:sz w:val="20"/>
          <w:szCs w:val="20"/>
          <w:lang w:eastAsia="pl-PL"/>
        </w:rPr>
        <w:tab/>
      </w:r>
      <w:r>
        <w:rPr>
          <w:rFonts w:eastAsia="Times New Roman" w:cstheme="minorHAnsi"/>
          <w:color w:val="111111"/>
          <w:sz w:val="20"/>
          <w:szCs w:val="20"/>
          <w:lang w:eastAsia="pl-PL"/>
        </w:rPr>
        <w:tab/>
      </w:r>
      <w:r>
        <w:rPr>
          <w:rFonts w:eastAsia="Times New Roman" w:cstheme="minorHAnsi"/>
          <w:color w:val="111111"/>
          <w:sz w:val="20"/>
          <w:szCs w:val="20"/>
          <w:lang w:eastAsia="pl-PL"/>
        </w:rPr>
        <w:tab/>
      </w:r>
      <w:r>
        <w:rPr>
          <w:rFonts w:eastAsia="Times New Roman" w:cstheme="minorHAnsi"/>
          <w:color w:val="111111"/>
          <w:sz w:val="20"/>
          <w:szCs w:val="20"/>
          <w:lang w:eastAsia="pl-PL"/>
        </w:rPr>
        <w:tab/>
      </w:r>
      <w:r>
        <w:rPr>
          <w:rFonts w:eastAsia="Times New Roman" w:cstheme="minorHAnsi"/>
          <w:color w:val="111111"/>
          <w:sz w:val="20"/>
          <w:szCs w:val="20"/>
          <w:lang w:eastAsia="pl-PL"/>
        </w:rPr>
        <w:tab/>
      </w:r>
      <w:r>
        <w:rPr>
          <w:rFonts w:eastAsia="Times New Roman" w:cstheme="minorHAnsi"/>
          <w:color w:val="111111"/>
          <w:sz w:val="20"/>
          <w:szCs w:val="20"/>
          <w:lang w:eastAsia="pl-PL"/>
        </w:rPr>
        <w:tab/>
      </w:r>
      <w:r>
        <w:rPr>
          <w:rFonts w:eastAsia="Times New Roman" w:cstheme="minorHAnsi"/>
          <w:color w:val="111111"/>
          <w:sz w:val="20"/>
          <w:szCs w:val="20"/>
          <w:lang w:eastAsia="pl-PL"/>
        </w:rPr>
        <w:tab/>
      </w:r>
      <w:r w:rsidRPr="00C0408C">
        <w:rPr>
          <w:rFonts w:ascii="Segoe UI" w:eastAsia="Times New Roman" w:hAnsi="Segoe UI" w:cs="Segoe UI"/>
          <w:b/>
          <w:bCs/>
          <w:color w:val="4472C4" w:themeColor="accent1"/>
          <w:sz w:val="20"/>
          <w:szCs w:val="20"/>
          <w:lang w:eastAsia="pl-PL"/>
        </w:rPr>
        <w:t>Tomasz Haiduk,</w:t>
      </w:r>
    </w:p>
    <w:p w14:paraId="0795DCAC" w14:textId="79ED0EDA" w:rsidR="002345A8" w:rsidRPr="00C0408C" w:rsidRDefault="002345A8" w:rsidP="00C0408C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b/>
          <w:bCs/>
          <w:color w:val="4472C4" w:themeColor="accent1"/>
          <w:sz w:val="20"/>
          <w:szCs w:val="20"/>
          <w:lang w:eastAsia="pl-PL"/>
        </w:rPr>
      </w:pPr>
      <w:r w:rsidRPr="00C0408C">
        <w:rPr>
          <w:rFonts w:ascii="Segoe UI" w:eastAsia="Times New Roman" w:hAnsi="Segoe UI" w:cs="Segoe UI"/>
          <w:b/>
          <w:bCs/>
          <w:color w:val="4472C4" w:themeColor="accent1"/>
          <w:sz w:val="20"/>
          <w:szCs w:val="20"/>
          <w:lang w:eastAsia="pl-PL"/>
        </w:rPr>
        <w:t>Wykładowca w Szkole Biznesu Politechniki Warszawskiej</w:t>
      </w:r>
    </w:p>
    <w:p w14:paraId="2CEF031F" w14:textId="4E65B5CB" w:rsidR="00C0408C" w:rsidRPr="00C0408C" w:rsidRDefault="00C0408C" w:rsidP="00C0408C">
      <w:pPr>
        <w:jc w:val="right"/>
        <w:rPr>
          <w:rFonts w:ascii="Segoe UI" w:hAnsi="Segoe UI" w:cs="Segoe UI"/>
          <w:b/>
          <w:bCs/>
          <w:color w:val="4472C4" w:themeColor="accent1"/>
          <w:sz w:val="20"/>
          <w:szCs w:val="20"/>
        </w:rPr>
      </w:pPr>
      <w:r w:rsidRPr="00C0408C">
        <w:rPr>
          <w:rFonts w:ascii="Segoe UI" w:hAnsi="Segoe UI" w:cs="Segoe UI"/>
          <w:b/>
          <w:bCs/>
          <w:color w:val="4472C4" w:themeColor="accent1"/>
          <w:sz w:val="20"/>
          <w:szCs w:val="20"/>
        </w:rPr>
        <w:t>Prezes Zarządu Forum Automatyki i Robotyki Polskiej – związku pracodawców</w:t>
      </w:r>
    </w:p>
    <w:p w14:paraId="165FCCCA" w14:textId="264549A3" w:rsidR="002345A8" w:rsidRPr="002345A8" w:rsidRDefault="002345A8" w:rsidP="00DB4849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</w:p>
    <w:p w14:paraId="6C751CA4" w14:textId="3101904B" w:rsidR="001906C0" w:rsidRPr="002345A8" w:rsidRDefault="001906C0" w:rsidP="00B16228">
      <w:pPr>
        <w:jc w:val="both"/>
        <w:rPr>
          <w:rFonts w:ascii="Segoe UI" w:hAnsi="Segoe UI" w:cs="Segoe UI"/>
          <w:sz w:val="20"/>
          <w:szCs w:val="20"/>
          <w:lang w:eastAsia="pl-PL"/>
        </w:rPr>
      </w:pPr>
    </w:p>
    <w:sectPr w:rsidR="001906C0" w:rsidRPr="002345A8" w:rsidSect="00153F26">
      <w:headerReference w:type="default" r:id="rId12"/>
      <w:footerReference w:type="defaul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F82D" w14:textId="77777777" w:rsidR="000323F8" w:rsidRDefault="000323F8" w:rsidP="00D84CB4">
      <w:pPr>
        <w:spacing w:after="0" w:line="240" w:lineRule="auto"/>
      </w:pPr>
      <w:r>
        <w:separator/>
      </w:r>
    </w:p>
  </w:endnote>
  <w:endnote w:type="continuationSeparator" w:id="0">
    <w:p w14:paraId="79480197" w14:textId="77777777" w:rsidR="000323F8" w:rsidRDefault="000323F8" w:rsidP="00D8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8B2E" w14:textId="77777777" w:rsidR="00BA6C3D" w:rsidRDefault="00BA6C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81C6" w14:textId="77777777" w:rsidR="000323F8" w:rsidRDefault="000323F8" w:rsidP="00D84CB4">
      <w:pPr>
        <w:spacing w:after="0" w:line="240" w:lineRule="auto"/>
      </w:pPr>
      <w:r>
        <w:separator/>
      </w:r>
    </w:p>
  </w:footnote>
  <w:footnote w:type="continuationSeparator" w:id="0">
    <w:p w14:paraId="2D6DE8CB" w14:textId="77777777" w:rsidR="000323F8" w:rsidRDefault="000323F8" w:rsidP="00D84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DFDC" w14:textId="77777777" w:rsidR="00D84CB4" w:rsidRDefault="00153F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30EBAE5" wp14:editId="6724A833">
          <wp:simplePos x="0" y="0"/>
          <wp:positionH relativeFrom="column">
            <wp:posOffset>-29845</wp:posOffset>
          </wp:positionH>
          <wp:positionV relativeFrom="paragraph">
            <wp:posOffset>-201930</wp:posOffset>
          </wp:positionV>
          <wp:extent cx="1825625" cy="647700"/>
          <wp:effectExtent l="0" t="0" r="3175" b="0"/>
          <wp:wrapTight wrapText="bothSides">
            <wp:wrapPolygon edited="0">
              <wp:start x="0" y="0"/>
              <wp:lineTo x="0" y="17788"/>
              <wp:lineTo x="8339" y="20329"/>
              <wp:lineTo x="8339" y="20965"/>
              <wp:lineTo x="21412" y="20965"/>
              <wp:lineTo x="21412" y="13976"/>
              <wp:lineTo x="17355" y="10165"/>
              <wp:lineTo x="11270" y="10165"/>
              <wp:lineTo x="16679" y="6353"/>
              <wp:lineTo x="17130" y="2541"/>
              <wp:lineTo x="15327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31DA87" w14:textId="77777777" w:rsidR="00D84CB4" w:rsidRDefault="00D84C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4B5D"/>
    <w:multiLevelType w:val="hybridMultilevel"/>
    <w:tmpl w:val="5C8E1B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815B0"/>
    <w:multiLevelType w:val="hybridMultilevel"/>
    <w:tmpl w:val="642ED1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884283">
    <w:abstractNumId w:val="0"/>
  </w:num>
  <w:num w:numId="2" w16cid:durableId="1577936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B5"/>
    <w:rsid w:val="000018B2"/>
    <w:rsid w:val="00004E76"/>
    <w:rsid w:val="00027602"/>
    <w:rsid w:val="000323F8"/>
    <w:rsid w:val="00032AD2"/>
    <w:rsid w:val="00036D88"/>
    <w:rsid w:val="0004384F"/>
    <w:rsid w:val="00046D29"/>
    <w:rsid w:val="00054D21"/>
    <w:rsid w:val="0007139B"/>
    <w:rsid w:val="000C7C32"/>
    <w:rsid w:val="000F1016"/>
    <w:rsid w:val="00101C69"/>
    <w:rsid w:val="00101DC2"/>
    <w:rsid w:val="001110BB"/>
    <w:rsid w:val="00122685"/>
    <w:rsid w:val="00130A18"/>
    <w:rsid w:val="00135051"/>
    <w:rsid w:val="00135739"/>
    <w:rsid w:val="00153F26"/>
    <w:rsid w:val="001609D9"/>
    <w:rsid w:val="001749CC"/>
    <w:rsid w:val="001906C0"/>
    <w:rsid w:val="0019388D"/>
    <w:rsid w:val="001A2026"/>
    <w:rsid w:val="001B3C94"/>
    <w:rsid w:val="001C7A70"/>
    <w:rsid w:val="001D1327"/>
    <w:rsid w:val="001E64AD"/>
    <w:rsid w:val="00201897"/>
    <w:rsid w:val="00224568"/>
    <w:rsid w:val="002345A8"/>
    <w:rsid w:val="00236C96"/>
    <w:rsid w:val="00245B32"/>
    <w:rsid w:val="00250461"/>
    <w:rsid w:val="00253E1B"/>
    <w:rsid w:val="00264A27"/>
    <w:rsid w:val="00272E50"/>
    <w:rsid w:val="00275549"/>
    <w:rsid w:val="002762C6"/>
    <w:rsid w:val="002932D8"/>
    <w:rsid w:val="002A170C"/>
    <w:rsid w:val="002A386C"/>
    <w:rsid w:val="002A4E1F"/>
    <w:rsid w:val="002C0898"/>
    <w:rsid w:val="002D3880"/>
    <w:rsid w:val="002E384E"/>
    <w:rsid w:val="00326BFE"/>
    <w:rsid w:val="003274A7"/>
    <w:rsid w:val="00327976"/>
    <w:rsid w:val="00332A10"/>
    <w:rsid w:val="003422B2"/>
    <w:rsid w:val="00350E78"/>
    <w:rsid w:val="00354467"/>
    <w:rsid w:val="00355695"/>
    <w:rsid w:val="0037323F"/>
    <w:rsid w:val="00390574"/>
    <w:rsid w:val="003940D2"/>
    <w:rsid w:val="003B08AB"/>
    <w:rsid w:val="003B25D9"/>
    <w:rsid w:val="003D585B"/>
    <w:rsid w:val="003F6073"/>
    <w:rsid w:val="004264F8"/>
    <w:rsid w:val="004323B6"/>
    <w:rsid w:val="004331EF"/>
    <w:rsid w:val="0045401E"/>
    <w:rsid w:val="004C6712"/>
    <w:rsid w:val="004D46C2"/>
    <w:rsid w:val="004F0EAC"/>
    <w:rsid w:val="0051001B"/>
    <w:rsid w:val="00532D4C"/>
    <w:rsid w:val="0053524D"/>
    <w:rsid w:val="005371C3"/>
    <w:rsid w:val="00555C5D"/>
    <w:rsid w:val="00566988"/>
    <w:rsid w:val="00570FD5"/>
    <w:rsid w:val="00575AAB"/>
    <w:rsid w:val="00590764"/>
    <w:rsid w:val="00593A64"/>
    <w:rsid w:val="00594C28"/>
    <w:rsid w:val="005A2E7B"/>
    <w:rsid w:val="005A4ECA"/>
    <w:rsid w:val="005B09E8"/>
    <w:rsid w:val="005B686D"/>
    <w:rsid w:val="005C54F8"/>
    <w:rsid w:val="005D5E80"/>
    <w:rsid w:val="005E0E33"/>
    <w:rsid w:val="005F367D"/>
    <w:rsid w:val="00627DFE"/>
    <w:rsid w:val="006456F6"/>
    <w:rsid w:val="006602CE"/>
    <w:rsid w:val="006B15ED"/>
    <w:rsid w:val="006B1D38"/>
    <w:rsid w:val="006B3732"/>
    <w:rsid w:val="006C4ED6"/>
    <w:rsid w:val="006D7CB7"/>
    <w:rsid w:val="006E3B44"/>
    <w:rsid w:val="00706E14"/>
    <w:rsid w:val="0071205E"/>
    <w:rsid w:val="00717F41"/>
    <w:rsid w:val="007411AA"/>
    <w:rsid w:val="00744590"/>
    <w:rsid w:val="00772E26"/>
    <w:rsid w:val="007A7E74"/>
    <w:rsid w:val="007B1948"/>
    <w:rsid w:val="007F1533"/>
    <w:rsid w:val="00800C0E"/>
    <w:rsid w:val="008105B4"/>
    <w:rsid w:val="00814C51"/>
    <w:rsid w:val="00824445"/>
    <w:rsid w:val="00865407"/>
    <w:rsid w:val="00887516"/>
    <w:rsid w:val="00892D77"/>
    <w:rsid w:val="008E0B91"/>
    <w:rsid w:val="0092708C"/>
    <w:rsid w:val="009519FA"/>
    <w:rsid w:val="00954A39"/>
    <w:rsid w:val="00967110"/>
    <w:rsid w:val="00971F47"/>
    <w:rsid w:val="009823AF"/>
    <w:rsid w:val="009A6935"/>
    <w:rsid w:val="009A784C"/>
    <w:rsid w:val="009B78C3"/>
    <w:rsid w:val="009D2963"/>
    <w:rsid w:val="009F38C5"/>
    <w:rsid w:val="00A01654"/>
    <w:rsid w:val="00A167E0"/>
    <w:rsid w:val="00A35E1B"/>
    <w:rsid w:val="00A654B9"/>
    <w:rsid w:val="00A65A6F"/>
    <w:rsid w:val="00A953A5"/>
    <w:rsid w:val="00AD49F1"/>
    <w:rsid w:val="00B04805"/>
    <w:rsid w:val="00B071CD"/>
    <w:rsid w:val="00B11AF1"/>
    <w:rsid w:val="00B13B1A"/>
    <w:rsid w:val="00B15894"/>
    <w:rsid w:val="00B16228"/>
    <w:rsid w:val="00B23522"/>
    <w:rsid w:val="00B279A5"/>
    <w:rsid w:val="00B30D34"/>
    <w:rsid w:val="00B6516C"/>
    <w:rsid w:val="00BA6C3D"/>
    <w:rsid w:val="00BC588E"/>
    <w:rsid w:val="00BD09D8"/>
    <w:rsid w:val="00BF12AA"/>
    <w:rsid w:val="00C0408C"/>
    <w:rsid w:val="00C1149F"/>
    <w:rsid w:val="00C2159F"/>
    <w:rsid w:val="00C32A79"/>
    <w:rsid w:val="00C42447"/>
    <w:rsid w:val="00C462FE"/>
    <w:rsid w:val="00C95FB5"/>
    <w:rsid w:val="00C971E1"/>
    <w:rsid w:val="00CB0BA6"/>
    <w:rsid w:val="00CB0E42"/>
    <w:rsid w:val="00CB16FB"/>
    <w:rsid w:val="00CB1D23"/>
    <w:rsid w:val="00CC1576"/>
    <w:rsid w:val="00CF2346"/>
    <w:rsid w:val="00CF73A8"/>
    <w:rsid w:val="00D0677C"/>
    <w:rsid w:val="00D10655"/>
    <w:rsid w:val="00D10692"/>
    <w:rsid w:val="00D136C9"/>
    <w:rsid w:val="00D37E33"/>
    <w:rsid w:val="00D50574"/>
    <w:rsid w:val="00D51579"/>
    <w:rsid w:val="00D74E93"/>
    <w:rsid w:val="00D80DFE"/>
    <w:rsid w:val="00D82159"/>
    <w:rsid w:val="00D84CB4"/>
    <w:rsid w:val="00D9116D"/>
    <w:rsid w:val="00D9401F"/>
    <w:rsid w:val="00D955F3"/>
    <w:rsid w:val="00DB4849"/>
    <w:rsid w:val="00DC6000"/>
    <w:rsid w:val="00DE7B16"/>
    <w:rsid w:val="00E12E13"/>
    <w:rsid w:val="00E42E18"/>
    <w:rsid w:val="00E532B8"/>
    <w:rsid w:val="00E5718D"/>
    <w:rsid w:val="00E71C6C"/>
    <w:rsid w:val="00E729F3"/>
    <w:rsid w:val="00E81CCD"/>
    <w:rsid w:val="00E8596F"/>
    <w:rsid w:val="00E902EC"/>
    <w:rsid w:val="00E9679F"/>
    <w:rsid w:val="00EB0567"/>
    <w:rsid w:val="00EC1AB2"/>
    <w:rsid w:val="00EC2C1B"/>
    <w:rsid w:val="00ED2729"/>
    <w:rsid w:val="00EF7E81"/>
    <w:rsid w:val="00F15103"/>
    <w:rsid w:val="00F248A2"/>
    <w:rsid w:val="00F64F0E"/>
    <w:rsid w:val="00F92829"/>
    <w:rsid w:val="00F965C7"/>
    <w:rsid w:val="00FB4D29"/>
    <w:rsid w:val="00FC3C16"/>
    <w:rsid w:val="00FC71B7"/>
    <w:rsid w:val="00FD1E3C"/>
    <w:rsid w:val="00FF5948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CF98D"/>
  <w15:docId w15:val="{ACF56BE7-1ABE-4510-A9CF-F6DB7DEA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E5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2E5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C1A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CB4"/>
  </w:style>
  <w:style w:type="paragraph" w:styleId="Stopka">
    <w:name w:val="footer"/>
    <w:basedOn w:val="Normalny"/>
    <w:link w:val="StopkaZnak"/>
    <w:uiPriority w:val="99"/>
    <w:unhideWhenUsed/>
    <w:rsid w:val="00D8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CB4"/>
  </w:style>
  <w:style w:type="paragraph" w:styleId="Tekstdymka">
    <w:name w:val="Balloon Text"/>
    <w:basedOn w:val="Normalny"/>
    <w:link w:val="TekstdymkaZnak"/>
    <w:uiPriority w:val="99"/>
    <w:semiHidden/>
    <w:unhideWhenUsed/>
    <w:rsid w:val="00153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F26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459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8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8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880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101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7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isa.europa.eu/publications/industry-4-0-cybersecurity-challenges-and-recommendations/@@download/fullRepor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policy.nask.pl/wielkie-zbiory-danych-poczatek-przemyslu-4-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ableau.com/learn/articles/data-management-best-practi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rzymanieruchu.pl/raport-przemysl-4-0-w-polsc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C7067-28FB-164A-BD4C-8B3129FD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Comunicativo Comunicativo</dc:creator>
  <cp:lastModifiedBy>Marketing Firma</cp:lastModifiedBy>
  <cp:revision>15</cp:revision>
  <cp:lastPrinted>2019-03-28T13:21:00Z</cp:lastPrinted>
  <dcterms:created xsi:type="dcterms:W3CDTF">2023-01-18T13:23:00Z</dcterms:created>
  <dcterms:modified xsi:type="dcterms:W3CDTF">2023-03-12T20:40:00Z</dcterms:modified>
</cp:coreProperties>
</file>