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40995009"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0C4D1D">
        <w:rPr>
          <w:rFonts w:ascii="Tahoma" w:hAnsi="Tahoma" w:cs="Tahoma"/>
        </w:rPr>
        <w:t xml:space="preserve">3 marca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6EF7E77A" w14:textId="0EA7C864" w:rsidR="00574E7A" w:rsidRDefault="009F6D7A" w:rsidP="00BD32B0">
      <w:pPr>
        <w:spacing w:line="276" w:lineRule="auto"/>
        <w:jc w:val="both"/>
        <w:rPr>
          <w:rFonts w:ascii="Tahoma" w:hAnsi="Tahoma" w:cs="Tahoma"/>
        </w:rPr>
      </w:pPr>
      <w:r>
        <w:rPr>
          <w:rFonts w:ascii="Tahoma" w:hAnsi="Tahoma" w:cs="Tahoma"/>
        </w:rPr>
        <w:t>Informacja prasowa</w:t>
      </w:r>
    </w:p>
    <w:p w14:paraId="55BF5644" w14:textId="285D5E29" w:rsidR="004F1840" w:rsidRDefault="004F1840" w:rsidP="00BD32B0">
      <w:pPr>
        <w:spacing w:line="276" w:lineRule="auto"/>
        <w:jc w:val="both"/>
        <w:rPr>
          <w:rFonts w:ascii="Tahoma" w:hAnsi="Tahoma" w:cs="Tahoma"/>
        </w:rPr>
      </w:pPr>
    </w:p>
    <w:p w14:paraId="01758AAE" w14:textId="0443822B" w:rsidR="004F1840" w:rsidRPr="004F1840" w:rsidRDefault="004F1840" w:rsidP="004F1840">
      <w:pPr>
        <w:jc w:val="center"/>
        <w:rPr>
          <w:rFonts w:ascii="Tahoma" w:hAnsi="Tahoma" w:cs="Tahoma"/>
          <w:b/>
          <w:bCs/>
          <w:color w:val="2F5496" w:themeColor="accent1" w:themeShade="BF"/>
          <w:sz w:val="32"/>
          <w:szCs w:val="32"/>
        </w:rPr>
      </w:pPr>
      <w:r w:rsidRPr="004F1840">
        <w:rPr>
          <w:rFonts w:ascii="Tahoma" w:hAnsi="Tahoma" w:cs="Tahoma"/>
          <w:b/>
          <w:bCs/>
          <w:color w:val="2F5496" w:themeColor="accent1" w:themeShade="BF"/>
          <w:sz w:val="32"/>
          <w:szCs w:val="32"/>
        </w:rPr>
        <w:t>Jak pandemia i lockdown wpłynęły na środowisko akademickie?</w:t>
      </w:r>
    </w:p>
    <w:p w14:paraId="1555E11F" w14:textId="77777777" w:rsidR="004F1840" w:rsidRDefault="004F1840" w:rsidP="004F1840">
      <w:pPr>
        <w:jc w:val="both"/>
        <w:rPr>
          <w:rFonts w:ascii="Tahoma" w:hAnsi="Tahoma" w:cs="Tahoma"/>
          <w:b/>
          <w:bCs/>
          <w:sz w:val="24"/>
          <w:szCs w:val="24"/>
        </w:rPr>
      </w:pPr>
      <w:r>
        <w:rPr>
          <w:rFonts w:ascii="Tahoma" w:hAnsi="Tahoma" w:cs="Tahoma"/>
          <w:b/>
          <w:bCs/>
          <w:sz w:val="24"/>
          <w:szCs w:val="24"/>
        </w:rPr>
        <w:t>Niemal co trzeci ankietowany wskazuje, że lockdown był dla niego korzystny, bo pozwolił na spędzenie więcej czasu z rodziną, własną pasję, samokształcenie oraz nowe projekty i inicjatywy – wynika z badania „The LockedDown”, przeprowadzonego z inicjatywy London School of Economics, University of Toronto oraz Healthbit. W badaniu wzięło udział blisko 30 tys. studentów i pracowników uczelni wyższych z całego świata. Polski wkład w badanie miała Szkoła Biznesu Politechniki Warszawskiej.</w:t>
      </w:r>
    </w:p>
    <w:p w14:paraId="1AAA26AD" w14:textId="77777777" w:rsidR="004F1840" w:rsidRDefault="004F1840" w:rsidP="004F1840">
      <w:pPr>
        <w:jc w:val="both"/>
        <w:rPr>
          <w:rFonts w:ascii="Tahoma" w:hAnsi="Tahoma" w:cs="Tahoma"/>
          <w:sz w:val="24"/>
          <w:szCs w:val="24"/>
        </w:rPr>
      </w:pPr>
      <w:r>
        <w:rPr>
          <w:rFonts w:ascii="Tahoma" w:hAnsi="Tahoma" w:cs="Tahoma"/>
          <w:sz w:val="24"/>
          <w:szCs w:val="24"/>
        </w:rPr>
        <w:t xml:space="preserve">Pandemia COVID-19 – być może już na zawsze – odmieniła życie milionów ludzi na całym świecie, a z jej globalnymi skutkami musimy mierzyć się do dziś. Zmiany dotknęły niemal każdego obszaru otaczającej nas rzeczywistości – nie tylko szeroko pojętego społeczeństwa, ale również polityki, gospodarki, służby zdrowia czy edukacji i nauki. </w:t>
      </w:r>
    </w:p>
    <w:p w14:paraId="0C9A739C" w14:textId="77777777" w:rsidR="004F1840" w:rsidRDefault="004F1840" w:rsidP="004F1840">
      <w:pPr>
        <w:jc w:val="both"/>
        <w:rPr>
          <w:rFonts w:ascii="Tahoma" w:hAnsi="Tahoma" w:cs="Tahoma"/>
          <w:b/>
          <w:bCs/>
          <w:sz w:val="24"/>
          <w:szCs w:val="24"/>
        </w:rPr>
      </w:pPr>
      <w:r>
        <w:rPr>
          <w:rFonts w:ascii="Tahoma" w:hAnsi="Tahoma" w:cs="Tahoma"/>
          <w:b/>
          <w:bCs/>
          <w:sz w:val="24"/>
          <w:szCs w:val="24"/>
        </w:rPr>
        <w:t>Interdyscyplinarne i międzynarodowe badanie</w:t>
      </w:r>
    </w:p>
    <w:p w14:paraId="1C51DEB6" w14:textId="77777777" w:rsidR="004F1840" w:rsidRDefault="004F1840" w:rsidP="004F1840">
      <w:pPr>
        <w:jc w:val="both"/>
        <w:rPr>
          <w:rFonts w:ascii="Tahoma" w:hAnsi="Tahoma" w:cs="Tahoma"/>
          <w:sz w:val="24"/>
          <w:szCs w:val="24"/>
        </w:rPr>
      </w:pPr>
      <w:r>
        <w:rPr>
          <w:rFonts w:ascii="Tahoma" w:hAnsi="Tahoma" w:cs="Tahoma"/>
          <w:sz w:val="24"/>
          <w:szCs w:val="24"/>
        </w:rPr>
        <w:t xml:space="preserve">LockedDown project to międzynarodowy projekt badawczy, mający na celu sprawdzenie, jak pandemia i związany z nią lockdown (oraz inne środki podjęte w celu walki z pandemią) zmieniły życie środowiska akademickiego – w tym studentów, wykładowców oraz pracowników uczelni wyższych. </w:t>
      </w:r>
      <w:r>
        <w:rPr>
          <w:rFonts w:ascii="Tahoma" w:hAnsi="Tahoma" w:cs="Tahoma"/>
          <w:sz w:val="24"/>
          <w:szCs w:val="24"/>
          <w:lang w:val="en-GB"/>
        </w:rPr>
        <w:t xml:space="preserve">Został zainicjowany przez London School of Economics, University of Toronto oraz twórców aplikacji Healthbit. </w:t>
      </w:r>
      <w:r>
        <w:rPr>
          <w:rFonts w:ascii="Tahoma" w:hAnsi="Tahoma" w:cs="Tahoma"/>
          <w:sz w:val="24"/>
          <w:szCs w:val="24"/>
        </w:rPr>
        <w:t xml:space="preserve">W projekt zaangażowały się uczelnie z całego świata, a całkowita liczba respondentów osiągnęła liczbę 27 804 osób ze 121 krajów na sześciu kontynentach (17 258 studentów, 7843 pracowników uczelni i  3052 osób niezrzeszonych w żadnej instytucji). Badanie przeprowadzono w okresie od maja do listopada 2020 roku, a szczegółowe wyniki badania na skalę globalną zostały opublikowane pod koniec stycznia 2022 roku. </w:t>
      </w:r>
    </w:p>
    <w:p w14:paraId="0BD99C56" w14:textId="77777777" w:rsidR="004F1840" w:rsidRDefault="004F1840" w:rsidP="004F1840">
      <w:pPr>
        <w:jc w:val="both"/>
        <w:rPr>
          <w:rFonts w:ascii="Tahoma" w:hAnsi="Tahoma" w:cs="Tahoma"/>
          <w:b/>
          <w:bCs/>
          <w:sz w:val="24"/>
          <w:szCs w:val="24"/>
        </w:rPr>
      </w:pPr>
      <w:r>
        <w:rPr>
          <w:rFonts w:ascii="Tahoma" w:hAnsi="Tahoma" w:cs="Tahoma"/>
          <w:b/>
          <w:bCs/>
          <w:sz w:val="24"/>
          <w:szCs w:val="24"/>
        </w:rPr>
        <w:t>„Pandemia COVID-19 najlepiej zbadaną epidemią w historii ludzkości”</w:t>
      </w:r>
    </w:p>
    <w:p w14:paraId="364F5184" w14:textId="60AEDE98" w:rsidR="004F1840" w:rsidRDefault="004F1840" w:rsidP="004F1840">
      <w:pPr>
        <w:jc w:val="both"/>
        <w:rPr>
          <w:rFonts w:ascii="Tahoma" w:hAnsi="Tahoma" w:cs="Tahoma"/>
          <w:sz w:val="24"/>
          <w:szCs w:val="24"/>
        </w:rPr>
      </w:pPr>
      <w:r>
        <w:rPr>
          <w:rFonts w:ascii="Tahoma" w:hAnsi="Tahoma" w:cs="Tahoma"/>
          <w:sz w:val="24"/>
          <w:szCs w:val="24"/>
        </w:rPr>
        <w:t xml:space="preserve">W badaniu znalazły się również odpowiedzi z polskiego środowiska akademickiego, dzięki zaangażowaniu Szkoły Biznesu Politechniki Warszawskiej w pozyskiwanie ankiet. - Zebraliśmy około 200 ankiet i jesteśmy w trakcie opracowywania wyników, które zostaną opublikowane w ciągu najbliższych miesięcy. Jesteśmy ciekawi, czy – i w jakim stopniu – wyniki badania będą odbiegać od tych globalnych. Swoją drogą, „TheLockedDown” to być może najszerzej zakrojony społęczny projekt badawczy dotyczący pandemii i lockdownu COVID-19, a z całą pewnością pandemia koronawirusa jest najlepiej przebadaną epidemią w historii całej ludzkości  – przekonuje prof. Marcin Czech, kierownik programu podyplomowego </w:t>
      </w:r>
      <w:r>
        <w:rPr>
          <w:rFonts w:ascii="Tahoma" w:hAnsi="Tahoma" w:cs="Tahoma"/>
          <w:sz w:val="24"/>
          <w:szCs w:val="24"/>
        </w:rPr>
        <w:lastRenderedPageBreak/>
        <w:t xml:space="preserve">Interdyscyplinarne Studia Menedżerów Farmacji, który wraz z doktorantką Anną Różalską koordynował polski projekt badawczy po stronie Szkoły Biznesu PW. </w:t>
      </w:r>
    </w:p>
    <w:p w14:paraId="1BF714FA" w14:textId="77777777" w:rsidR="004F1840" w:rsidRDefault="004F1840" w:rsidP="004F1840">
      <w:pPr>
        <w:jc w:val="both"/>
        <w:rPr>
          <w:rFonts w:ascii="Tahoma" w:hAnsi="Tahoma" w:cs="Tahoma"/>
          <w:b/>
          <w:bCs/>
          <w:sz w:val="24"/>
          <w:szCs w:val="24"/>
        </w:rPr>
      </w:pPr>
      <w:r>
        <w:rPr>
          <w:rFonts w:ascii="Tahoma" w:hAnsi="Tahoma" w:cs="Tahoma"/>
          <w:b/>
          <w:bCs/>
          <w:sz w:val="24"/>
          <w:szCs w:val="24"/>
        </w:rPr>
        <w:t>Cztery obszary</w:t>
      </w:r>
    </w:p>
    <w:p w14:paraId="70EC78B5" w14:textId="77777777" w:rsidR="004F1840" w:rsidRDefault="004F1840" w:rsidP="004F1840">
      <w:pPr>
        <w:jc w:val="both"/>
        <w:rPr>
          <w:rFonts w:ascii="Tahoma" w:hAnsi="Tahoma" w:cs="Tahoma"/>
          <w:sz w:val="24"/>
          <w:szCs w:val="24"/>
        </w:rPr>
      </w:pPr>
      <w:r>
        <w:rPr>
          <w:rFonts w:ascii="Tahoma" w:hAnsi="Tahoma" w:cs="Tahoma"/>
          <w:sz w:val="24"/>
          <w:szCs w:val="24"/>
        </w:rPr>
        <w:t>W badaniu zadano pytania dotyczące czterech obszarów – kontaktów towarzyskich, życia społecznego i aktywności fizycznej, dostępu do dóbr i usług, zdrowia oraz wpływu lockdownu na kondycję psychiczną. Wyniki badania wskazują m.in., że:</w:t>
      </w:r>
    </w:p>
    <w:p w14:paraId="3ADFB94E"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39,2 % uczestników badania potwierdziło problemy z dostępnością dóbr i usług; 46,2% wskazało na wyzwania z dostępem do żywności i innych niezbędnych towarów, 57,5% zgłosiło problemy z dostępem do usług osobistych/zawodowych/domowych, 30,8% wskazało na trudności z dostępem do leków i usług zdrowotnych;</w:t>
      </w:r>
    </w:p>
    <w:p w14:paraId="33D4C16D"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21,2 % respondentów określiło swoje życie towarzyskie jako „świetne, natomiast 28,4 % badanych stwierdziło, że lockdown negatywnie wpłynął na ich życie towarzyskie</w:t>
      </w:r>
    </w:p>
    <w:p w14:paraId="040D2F25"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42 % badanych nie mogło uprawiać aktywności fizycznej w takim samym stopniu jak przed lockdownem, a 37 % utrzymało dotychczasową aktywność na tym samym poziomie lub wręcz ją zwiększyło;</w:t>
      </w:r>
    </w:p>
    <w:p w14:paraId="08D648EE"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28 % respondentów doświadczyło problemów zdrowotnych niedotyczących COVID-19;</w:t>
      </w:r>
    </w:p>
    <w:p w14:paraId="1FB88590"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mniej więcej 18 % badanych zwróciło uwagę, że nie mieli dostępu do usług zdrowotnych na odpowiednim poziomie;</w:t>
      </w:r>
    </w:p>
    <w:p w14:paraId="04E8BA83" w14:textId="77777777" w:rsidR="004F1840" w:rsidRDefault="004F1840" w:rsidP="004F1840">
      <w:pPr>
        <w:pStyle w:val="Akapitzlist"/>
        <w:numPr>
          <w:ilvl w:val="0"/>
          <w:numId w:val="4"/>
        </w:numPr>
        <w:spacing w:line="256" w:lineRule="auto"/>
        <w:jc w:val="both"/>
        <w:rPr>
          <w:rFonts w:ascii="Tahoma" w:hAnsi="Tahoma" w:cs="Tahoma"/>
          <w:sz w:val="24"/>
          <w:szCs w:val="24"/>
        </w:rPr>
      </w:pPr>
      <w:r>
        <w:rPr>
          <w:rFonts w:ascii="Tahoma" w:hAnsi="Tahoma" w:cs="Tahoma"/>
          <w:sz w:val="24"/>
          <w:szCs w:val="24"/>
        </w:rPr>
        <w:t xml:space="preserve">31,5 % respondentów stwierdziło, że lockdown był dla nich korzystny, co wynikało z „większej ilości czasu dla rodziny lub na własne hobby (66,9 %), samokształcenie (46,7 %) oraz szeroko pojęte „nowe projekty i inicjatywy” (21 %). </w:t>
      </w:r>
    </w:p>
    <w:p w14:paraId="6F47D4DB" w14:textId="77777777" w:rsidR="004F1840" w:rsidRDefault="004F1840" w:rsidP="004F1840">
      <w:pPr>
        <w:jc w:val="both"/>
        <w:rPr>
          <w:rFonts w:ascii="Tahoma" w:hAnsi="Tahoma" w:cs="Tahoma"/>
          <w:sz w:val="24"/>
          <w:szCs w:val="24"/>
        </w:rPr>
      </w:pPr>
      <w:r>
        <w:rPr>
          <w:rFonts w:ascii="Tahoma" w:hAnsi="Tahoma" w:cs="Tahoma"/>
          <w:sz w:val="24"/>
          <w:szCs w:val="24"/>
        </w:rPr>
        <w:t>- Wyniki w dużej mierze potwierdzają to, o czym mówi się od dawna – pandemia i lockdown w 2020 roku z jednej strony ograniczyły dostępność do dóbr i usług czy wpłynęły negatywnie na dobrostan psychiczny dużej części społeczeństwa, ale z drugiej - dały impuls do częstszej aktywności fizycznej, spędzania więcej czasu z rodziną i bliskimi i w ogóle do szeroko pojętego samorozwoju. Z pewnością najbardziej zaskakuje niewielka różnica pomiędzy respondentami, którzy wskazywali na pozytywny wpływ lockdownu na ich życie towarzyskie, a tymi, którzy uznali, że wpływ ten był negatywny – podkreśla prof. Czech.</w:t>
      </w:r>
    </w:p>
    <w:p w14:paraId="596629AE" w14:textId="14465152" w:rsidR="004F1840" w:rsidRDefault="004F1840" w:rsidP="004F1840">
      <w:pPr>
        <w:jc w:val="both"/>
        <w:rPr>
          <w:rFonts w:ascii="Tahoma" w:hAnsi="Tahoma" w:cs="Tahoma"/>
          <w:sz w:val="24"/>
          <w:szCs w:val="24"/>
        </w:rPr>
      </w:pPr>
      <w:r>
        <w:rPr>
          <w:rFonts w:ascii="Tahoma" w:hAnsi="Tahoma" w:cs="Tahoma"/>
          <w:sz w:val="24"/>
          <w:szCs w:val="24"/>
        </w:rPr>
        <w:t xml:space="preserve">Szczegółowe studium raportu znajduje się </w:t>
      </w:r>
      <w:hyperlink r:id="rId8" w:history="1">
        <w:r>
          <w:rPr>
            <w:rStyle w:val="Hipercze"/>
            <w:rFonts w:ascii="Tahoma" w:hAnsi="Tahoma" w:cs="Tahoma"/>
            <w:sz w:val="24"/>
            <w:szCs w:val="24"/>
          </w:rPr>
          <w:t>tutaj</w:t>
        </w:r>
      </w:hyperlink>
      <w:r>
        <w:rPr>
          <w:rFonts w:ascii="Tahoma" w:hAnsi="Tahoma" w:cs="Tahoma"/>
          <w:sz w:val="24"/>
          <w:szCs w:val="24"/>
        </w:rPr>
        <w:t xml:space="preserve">. </w:t>
      </w:r>
    </w:p>
    <w:p w14:paraId="3F59DABE" w14:textId="77777777" w:rsidR="004F1840" w:rsidRDefault="004F1840" w:rsidP="004F1840">
      <w:pPr>
        <w:jc w:val="both"/>
        <w:rPr>
          <w:rFonts w:ascii="Tahoma" w:hAnsi="Tahoma" w:cs="Tahoma"/>
          <w:sz w:val="24"/>
          <w:szCs w:val="24"/>
        </w:rPr>
      </w:pPr>
    </w:p>
    <w:p w14:paraId="75297F64" w14:textId="77777777" w:rsidR="004F1840" w:rsidRDefault="004F1840" w:rsidP="004F1840">
      <w:pPr>
        <w:jc w:val="both"/>
        <w:rPr>
          <w:rFonts w:ascii="Tahoma" w:hAnsi="Tahoma" w:cs="Tahoma"/>
          <w:sz w:val="24"/>
          <w:szCs w:val="24"/>
        </w:rPr>
      </w:pPr>
    </w:p>
    <w:p w14:paraId="20F218D2" w14:textId="77777777" w:rsidR="004F1840" w:rsidRPr="000B0128" w:rsidRDefault="004F1840" w:rsidP="00BD32B0">
      <w:pPr>
        <w:spacing w:line="276" w:lineRule="auto"/>
        <w:jc w:val="both"/>
        <w:rPr>
          <w:rFonts w:ascii="Tahoma" w:hAnsi="Tahoma" w:cs="Tahoma"/>
        </w:rPr>
      </w:pPr>
    </w:p>
    <w:p w14:paraId="070B45BD" w14:textId="5C640D14" w:rsidR="002721DA" w:rsidRDefault="002721DA" w:rsidP="00BD32B0">
      <w:pPr>
        <w:spacing w:line="276" w:lineRule="auto"/>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lastRenderedPageBreak/>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ED74CD" w:rsidP="00BD32B0">
      <w:pPr>
        <w:spacing w:after="0" w:line="276" w:lineRule="auto"/>
        <w:jc w:val="both"/>
        <w:rPr>
          <w:rFonts w:ascii="Tahoma" w:hAnsi="Tahoma" w:cs="Tahoma"/>
          <w:b/>
          <w:color w:val="2F5496" w:themeColor="accent1" w:themeShade="BF"/>
        </w:rPr>
      </w:pPr>
      <w:hyperlink r:id="rId9"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F184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9FD" w14:textId="77777777" w:rsidR="00F36A57" w:rsidRDefault="00F36A57" w:rsidP="00D84CB4">
      <w:pPr>
        <w:spacing w:after="0" w:line="240" w:lineRule="auto"/>
      </w:pPr>
      <w:r>
        <w:separator/>
      </w:r>
    </w:p>
  </w:endnote>
  <w:endnote w:type="continuationSeparator" w:id="0">
    <w:p w14:paraId="2BA25ED5" w14:textId="77777777" w:rsidR="00F36A57" w:rsidRDefault="00F36A5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7F6" w14:textId="77777777" w:rsidR="00F36A57" w:rsidRDefault="00F36A57" w:rsidP="00D84CB4">
      <w:pPr>
        <w:spacing w:after="0" w:line="240" w:lineRule="auto"/>
      </w:pPr>
      <w:r>
        <w:separator/>
      </w:r>
    </w:p>
  </w:footnote>
  <w:footnote w:type="continuationSeparator" w:id="0">
    <w:p w14:paraId="4B3A45AF" w14:textId="77777777" w:rsidR="00F36A57" w:rsidRDefault="00F36A5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96082"/>
    <w:multiLevelType w:val="hybridMultilevel"/>
    <w:tmpl w:val="640C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4D1D"/>
    <w:rsid w:val="000C7C32"/>
    <w:rsid w:val="000E4FD8"/>
    <w:rsid w:val="000F1016"/>
    <w:rsid w:val="00101C69"/>
    <w:rsid w:val="00101DC2"/>
    <w:rsid w:val="001110BB"/>
    <w:rsid w:val="0011134A"/>
    <w:rsid w:val="00130A18"/>
    <w:rsid w:val="00135051"/>
    <w:rsid w:val="00135739"/>
    <w:rsid w:val="001503C5"/>
    <w:rsid w:val="00151F88"/>
    <w:rsid w:val="00153F26"/>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4F1840"/>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D74CD"/>
    <w:rsid w:val="00EF5ED9"/>
    <w:rsid w:val="00EF7E81"/>
    <w:rsid w:val="00F248A2"/>
    <w:rsid w:val="00F36A57"/>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970945034">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20503121221074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aron@comunicativ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4763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2022-03-03T09:14:00Z</dcterms:created>
  <dcterms:modified xsi:type="dcterms:W3CDTF">2022-03-03T09:14:00Z</dcterms:modified>
</cp:coreProperties>
</file>