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52BDD0AA"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151F88">
        <w:rPr>
          <w:rFonts w:ascii="Tahoma" w:hAnsi="Tahoma" w:cs="Tahoma"/>
        </w:rPr>
        <w:t>8</w:t>
      </w:r>
      <w:r w:rsidR="002721DA" w:rsidRPr="000B0128">
        <w:rPr>
          <w:rFonts w:ascii="Tahoma" w:hAnsi="Tahoma" w:cs="Tahoma"/>
        </w:rPr>
        <w:t xml:space="preserve"> </w:t>
      </w:r>
      <w:r w:rsidR="00151F88">
        <w:rPr>
          <w:rFonts w:ascii="Tahoma" w:hAnsi="Tahoma" w:cs="Tahoma"/>
        </w:rPr>
        <w:t>grudnia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BD32B0">
      <w:pPr>
        <w:spacing w:line="276" w:lineRule="auto"/>
        <w:jc w:val="both"/>
        <w:rPr>
          <w:rFonts w:ascii="Tahoma" w:hAnsi="Tahoma" w:cs="Tahoma"/>
          <w:b/>
          <w:bCs/>
        </w:rPr>
      </w:pPr>
    </w:p>
    <w:p w14:paraId="6EF7E77A" w14:textId="309A93FE" w:rsidR="00574E7A" w:rsidRPr="000B0128" w:rsidRDefault="009F6D7A" w:rsidP="00BD32B0">
      <w:pPr>
        <w:spacing w:line="276" w:lineRule="auto"/>
        <w:jc w:val="both"/>
        <w:rPr>
          <w:rFonts w:ascii="Tahoma" w:hAnsi="Tahoma" w:cs="Tahoma"/>
        </w:rPr>
      </w:pPr>
      <w:r>
        <w:rPr>
          <w:rFonts w:ascii="Tahoma" w:hAnsi="Tahoma" w:cs="Tahoma"/>
        </w:rPr>
        <w:t>Informacja prasowa</w:t>
      </w:r>
    </w:p>
    <w:p w14:paraId="070B45BD" w14:textId="5C640D14" w:rsidR="002721DA" w:rsidRDefault="002721DA" w:rsidP="00BD32B0">
      <w:pPr>
        <w:spacing w:line="276" w:lineRule="auto"/>
        <w:jc w:val="both"/>
        <w:rPr>
          <w:rFonts w:ascii="Tahoma" w:hAnsi="Tahoma" w:cs="Tahoma"/>
          <w:b/>
          <w:bCs/>
        </w:rPr>
      </w:pPr>
    </w:p>
    <w:p w14:paraId="2A0383BB" w14:textId="77777777" w:rsidR="00151F88" w:rsidRPr="00BD32B0" w:rsidRDefault="00151F88" w:rsidP="00A11B47">
      <w:pPr>
        <w:jc w:val="center"/>
        <w:rPr>
          <w:rFonts w:ascii="Tahoma" w:hAnsi="Tahoma" w:cs="Tahoma"/>
          <w:b/>
          <w:bCs/>
          <w:color w:val="2F5496" w:themeColor="accent1" w:themeShade="BF"/>
          <w:sz w:val="32"/>
          <w:szCs w:val="32"/>
        </w:rPr>
      </w:pPr>
      <w:r w:rsidRPr="00BD32B0">
        <w:rPr>
          <w:rFonts w:ascii="Tahoma" w:hAnsi="Tahoma" w:cs="Tahoma"/>
          <w:b/>
          <w:bCs/>
          <w:color w:val="2F5496" w:themeColor="accent1" w:themeShade="BF"/>
          <w:sz w:val="32"/>
          <w:szCs w:val="32"/>
        </w:rPr>
        <w:t>Handel i marketing mogą zyskać najwięcej na algorytmach uczenia maszynowego</w:t>
      </w:r>
    </w:p>
    <w:p w14:paraId="63E171FA" w14:textId="52232101" w:rsidR="00151F88" w:rsidRPr="00A11B47" w:rsidRDefault="00151F88" w:rsidP="00BD32B0">
      <w:pPr>
        <w:jc w:val="both"/>
        <w:rPr>
          <w:rFonts w:ascii="Tahoma" w:hAnsi="Tahoma" w:cs="Tahoma"/>
          <w:b/>
          <w:bCs/>
          <w:sz w:val="20"/>
          <w:szCs w:val="20"/>
        </w:rPr>
      </w:pPr>
      <w:r w:rsidRPr="00A11B47">
        <w:rPr>
          <w:rFonts w:ascii="Tahoma" w:hAnsi="Tahoma" w:cs="Tahoma"/>
          <w:b/>
          <w:bCs/>
          <w:sz w:val="20"/>
          <w:szCs w:val="20"/>
        </w:rPr>
        <w:t>Zarówno handel, jak i marketing mogą być największymi beneficjentami rozwoju algorytmów uczenia maszynowego. Dzięki zaawansowanym metodom identyfikacji, prognozowania i optymalizowania łatwiej będzie o oszacowanie popytu, dotarcie ze spersonalizowaną ofertą do konkretnego klienta – tłumaczy dr hab. Andrzej Wodecki, wykładowca w Szkole Biznesu Politechniki Warszawskiej.</w:t>
      </w:r>
    </w:p>
    <w:p w14:paraId="5ADE63E1" w14:textId="65E7A5F4" w:rsidR="00151F88" w:rsidRPr="00A11B47" w:rsidRDefault="00151F88" w:rsidP="00BD32B0">
      <w:pPr>
        <w:jc w:val="both"/>
        <w:rPr>
          <w:rFonts w:ascii="Tahoma" w:hAnsi="Tahoma" w:cs="Tahoma"/>
          <w:sz w:val="20"/>
          <w:szCs w:val="20"/>
        </w:rPr>
      </w:pPr>
      <w:r w:rsidRPr="00A11B47">
        <w:rPr>
          <w:rFonts w:ascii="Tahoma" w:hAnsi="Tahoma" w:cs="Tahoma"/>
          <w:sz w:val="20"/>
          <w:szCs w:val="20"/>
        </w:rPr>
        <w:t>Do metody i technik uczenia maszynowego warto podchodzić jak do inteligentnych narzędzi, których zadaniem jest pomóc nam w wykonywaniu codziennych czynności czy też usprawnić prowadzenie biznesu. Właściciel firmy produkcyjnej</w:t>
      </w:r>
      <w:r w:rsidR="00CC5C40" w:rsidRPr="00A11B47">
        <w:rPr>
          <w:rFonts w:ascii="Tahoma" w:hAnsi="Tahoma" w:cs="Tahoma"/>
          <w:sz w:val="20"/>
          <w:szCs w:val="20"/>
        </w:rPr>
        <w:t xml:space="preserve">, </w:t>
      </w:r>
      <w:r w:rsidRPr="00A11B47">
        <w:rPr>
          <w:rFonts w:ascii="Tahoma" w:hAnsi="Tahoma" w:cs="Tahoma"/>
          <w:sz w:val="20"/>
          <w:szCs w:val="20"/>
        </w:rPr>
        <w:t>podejmując decyzję o zakupie nowej maszyny</w:t>
      </w:r>
      <w:r w:rsidR="00CC5C40" w:rsidRPr="00A11B47">
        <w:rPr>
          <w:rFonts w:ascii="Tahoma" w:hAnsi="Tahoma" w:cs="Tahoma"/>
          <w:sz w:val="20"/>
          <w:szCs w:val="20"/>
        </w:rPr>
        <w:t>,</w:t>
      </w:r>
      <w:r w:rsidRPr="00A11B47">
        <w:rPr>
          <w:rFonts w:ascii="Tahoma" w:hAnsi="Tahoma" w:cs="Tahoma"/>
          <w:sz w:val="20"/>
          <w:szCs w:val="20"/>
        </w:rPr>
        <w:t xml:space="preserve"> kieruje się np. tym, w jaki sposób może ona podnieść wydajność zakładu? Poprawić jakość produkcji? Zwiększyć bezpieczeństwo pracowników? A może zoptymalizować koszty i oszczędzić na zatrudnieniu? W podobny sposób warto patrzeć na systemy sztucznej inteligencji: znając ich możliwości zadawać sobie pytanie o praktyczne korzyści, jakie mogą nam przynieść.</w:t>
      </w:r>
    </w:p>
    <w:p w14:paraId="20AA8356" w14:textId="77777777" w:rsidR="00151F88" w:rsidRPr="00A11B47" w:rsidRDefault="00151F88" w:rsidP="00BD32B0">
      <w:pPr>
        <w:jc w:val="both"/>
        <w:rPr>
          <w:rFonts w:ascii="Tahoma" w:hAnsi="Tahoma" w:cs="Tahoma"/>
          <w:b/>
          <w:bCs/>
          <w:sz w:val="20"/>
          <w:szCs w:val="20"/>
        </w:rPr>
      </w:pPr>
      <w:r w:rsidRPr="00A11B47">
        <w:rPr>
          <w:rFonts w:ascii="Tahoma" w:hAnsi="Tahoma" w:cs="Tahoma"/>
          <w:b/>
          <w:bCs/>
          <w:sz w:val="20"/>
          <w:szCs w:val="20"/>
        </w:rPr>
        <w:t>Algorytmy uczenia maszynowego mają sens wtedy, gdy z nich korzystamy</w:t>
      </w:r>
    </w:p>
    <w:p w14:paraId="487D307D"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Modele uczenia maszynowego są istotną częścią inteligentnych produktów czy usługo, a nie inteligentnymi rozwiązaniami samymi w sobie.  Do naszego smartfona możemy zalogować się pokazując swoją twarz – niewiele osób jest zainteresowanych technicznymi podstawami takiego rozwiązania: korzystamy z niego, bo jest po prostu wygodne. Z perspektywy inżyniera, który projektował to rozwiązanie, model uczenia maszynowego rozpoznajcy twarz jest komponentem, który trzeba obudować usługą – dodać oprogramowanie, wprowadzić je do urządzenia, które ma odpowiednią wydajność i wreszcie – nauczyć tego użytkownika z tego korzystać. Dopiero tak zaprojektowana i dostarczana całość jest źródłem wartości dla użytkownika.</w:t>
      </w:r>
    </w:p>
    <w:p w14:paraId="05BA18BC"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Podbnie, gdy jako analityk korzystam z narzędzi Business Inteligence (BI) i mam do dyspozycji inteligentny system, pozwalający zaprognozować zakupy klientów albo popyt na konkretny produkt, koncentruję się na efektywnym jego wykorzystaniu w mojej praktyce a nie na technicznych podstawach działania mojego systemu. Algorytm uczenia maszynowego jest sercem rozwiązania ukrytym przed użytkownikiem – ale na koniec dnia, jako komponent systemu BI pomaga analitykom szybko i realizować swoje zadania.</w:t>
      </w:r>
    </w:p>
    <w:p w14:paraId="4F53984C" w14:textId="77777777" w:rsidR="00151F88" w:rsidRPr="00A11B47" w:rsidRDefault="00151F88" w:rsidP="00BD32B0">
      <w:pPr>
        <w:jc w:val="both"/>
        <w:rPr>
          <w:rFonts w:ascii="Tahoma" w:hAnsi="Tahoma" w:cs="Tahoma"/>
          <w:b/>
          <w:bCs/>
          <w:sz w:val="20"/>
          <w:szCs w:val="20"/>
        </w:rPr>
      </w:pPr>
      <w:r w:rsidRPr="00A11B47">
        <w:rPr>
          <w:rFonts w:ascii="Tahoma" w:hAnsi="Tahoma" w:cs="Tahoma"/>
          <w:b/>
          <w:bCs/>
          <w:sz w:val="20"/>
          <w:szCs w:val="20"/>
        </w:rPr>
        <w:t>Rozpoznawanie, przewidywanie i poprawa procesów</w:t>
      </w:r>
    </w:p>
    <w:p w14:paraId="550677B2" w14:textId="73537258" w:rsidR="00151F88" w:rsidRPr="00A11B47" w:rsidRDefault="00151F88" w:rsidP="00BD32B0">
      <w:pPr>
        <w:jc w:val="both"/>
        <w:rPr>
          <w:rFonts w:ascii="Tahoma" w:hAnsi="Tahoma" w:cs="Tahoma"/>
          <w:sz w:val="20"/>
          <w:szCs w:val="20"/>
        </w:rPr>
      </w:pPr>
      <w:r w:rsidRPr="00A11B47">
        <w:rPr>
          <w:rFonts w:ascii="Tahoma" w:hAnsi="Tahoma" w:cs="Tahoma"/>
          <w:sz w:val="20"/>
          <w:szCs w:val="20"/>
        </w:rPr>
        <w:t xml:space="preserve">W bardzo dużym uproszczeniu </w:t>
      </w:r>
      <w:r w:rsidR="00A11B47" w:rsidRPr="00A11B47">
        <w:rPr>
          <w:rFonts w:ascii="Tahoma" w:hAnsi="Tahoma" w:cs="Tahoma"/>
          <w:sz w:val="20"/>
          <w:szCs w:val="20"/>
        </w:rPr>
        <w:t>zdolności</w:t>
      </w:r>
      <w:r w:rsidRPr="00A11B47">
        <w:rPr>
          <w:rFonts w:ascii="Tahoma" w:hAnsi="Tahoma" w:cs="Tahoma"/>
          <w:sz w:val="20"/>
          <w:szCs w:val="20"/>
        </w:rPr>
        <w:t xml:space="preserve"> algorytm</w:t>
      </w:r>
      <w:r w:rsidR="00A11B47" w:rsidRPr="00A11B47">
        <w:rPr>
          <w:rFonts w:ascii="Tahoma" w:hAnsi="Tahoma" w:cs="Tahoma"/>
          <w:sz w:val="20"/>
          <w:szCs w:val="20"/>
        </w:rPr>
        <w:t>ów</w:t>
      </w:r>
      <w:r w:rsidRPr="00A11B47">
        <w:rPr>
          <w:rFonts w:ascii="Tahoma" w:hAnsi="Tahoma" w:cs="Tahoma"/>
          <w:sz w:val="20"/>
          <w:szCs w:val="20"/>
        </w:rPr>
        <w:t xml:space="preserve"> uczenia maszynowego można zredukować do trzech podstawowych „umiejętności”:</w:t>
      </w:r>
    </w:p>
    <w:p w14:paraId="742ACA91" w14:textId="77777777" w:rsidR="00151F88" w:rsidRPr="00A11B47" w:rsidRDefault="00151F88" w:rsidP="00A11B47">
      <w:pPr>
        <w:pStyle w:val="Akapitzlist"/>
        <w:numPr>
          <w:ilvl w:val="0"/>
          <w:numId w:val="3"/>
        </w:numPr>
        <w:spacing w:after="0"/>
        <w:jc w:val="both"/>
        <w:rPr>
          <w:rFonts w:ascii="Tahoma" w:hAnsi="Tahoma" w:cs="Tahoma"/>
          <w:sz w:val="20"/>
          <w:szCs w:val="20"/>
        </w:rPr>
      </w:pPr>
      <w:r w:rsidRPr="00A11B47">
        <w:rPr>
          <w:rFonts w:ascii="Tahoma" w:hAnsi="Tahoma" w:cs="Tahoma"/>
          <w:sz w:val="20"/>
          <w:szCs w:val="20"/>
        </w:rPr>
        <w:t>identyfikacji (obiektów, człowieka, maszyn, przedmiotów na drodze, sytuacji, emocji);</w:t>
      </w:r>
    </w:p>
    <w:p w14:paraId="28AA13E3" w14:textId="77777777" w:rsidR="00151F88" w:rsidRPr="00A11B47" w:rsidRDefault="00151F88" w:rsidP="00A11B47">
      <w:pPr>
        <w:pStyle w:val="Akapitzlist"/>
        <w:numPr>
          <w:ilvl w:val="0"/>
          <w:numId w:val="3"/>
        </w:numPr>
        <w:spacing w:after="0"/>
        <w:jc w:val="both"/>
        <w:rPr>
          <w:rFonts w:ascii="Tahoma" w:hAnsi="Tahoma" w:cs="Tahoma"/>
          <w:sz w:val="20"/>
          <w:szCs w:val="20"/>
        </w:rPr>
      </w:pPr>
      <w:r w:rsidRPr="00A11B47">
        <w:rPr>
          <w:rFonts w:ascii="Tahoma" w:hAnsi="Tahoma" w:cs="Tahoma"/>
          <w:sz w:val="20"/>
          <w:szCs w:val="20"/>
        </w:rPr>
        <w:t>prognoz (popytu, cen akcji, pogody, zachowań klientów i ich potrzeb, wystąpienia potencjalnych awarii);</w:t>
      </w:r>
    </w:p>
    <w:p w14:paraId="1FC9C502" w14:textId="1D866E1E" w:rsidR="00151F88" w:rsidRPr="00A11B47" w:rsidRDefault="00151F88" w:rsidP="00A11B47">
      <w:pPr>
        <w:pStyle w:val="Akapitzlist"/>
        <w:numPr>
          <w:ilvl w:val="0"/>
          <w:numId w:val="3"/>
        </w:numPr>
        <w:spacing w:after="0"/>
        <w:jc w:val="both"/>
        <w:rPr>
          <w:rFonts w:ascii="Tahoma" w:hAnsi="Tahoma" w:cs="Tahoma"/>
          <w:sz w:val="20"/>
          <w:szCs w:val="20"/>
        </w:rPr>
      </w:pPr>
      <w:r w:rsidRPr="00A11B47">
        <w:rPr>
          <w:rFonts w:ascii="Tahoma" w:hAnsi="Tahoma" w:cs="Tahoma"/>
          <w:sz w:val="20"/>
          <w:szCs w:val="20"/>
        </w:rPr>
        <w:t xml:space="preserve">optymalizacji, czyli zmiany procesów i parametrów urządzenia, by przybliżała nas do funkcji i celu (produkcji, procesów biznesowych, obsługi klienta etc.). </w:t>
      </w:r>
    </w:p>
    <w:p w14:paraId="493B4419" w14:textId="77777777" w:rsidR="00A11B47" w:rsidRPr="00A11B47" w:rsidRDefault="00A11B47" w:rsidP="00A11B47">
      <w:pPr>
        <w:pStyle w:val="Akapitzlist"/>
        <w:spacing w:after="0"/>
        <w:jc w:val="both"/>
        <w:rPr>
          <w:rFonts w:ascii="Tahoma" w:hAnsi="Tahoma" w:cs="Tahoma"/>
          <w:sz w:val="20"/>
          <w:szCs w:val="20"/>
        </w:rPr>
      </w:pPr>
    </w:p>
    <w:p w14:paraId="1A979387"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 xml:space="preserve">W moich badaniach koncentruję się na tym, w jaki sposób firmy czy organizacje z różnych branż mogą skorzystać z tych „umiejętności”? W jaki sposób mogą odzyskać wartość? Wiele wskazuje </w:t>
      </w:r>
      <w:r w:rsidRPr="00A11B47">
        <w:rPr>
          <w:rFonts w:ascii="Tahoma" w:hAnsi="Tahoma" w:cs="Tahoma"/>
          <w:sz w:val="20"/>
          <w:szCs w:val="20"/>
        </w:rPr>
        <w:lastRenderedPageBreak/>
        <w:t xml:space="preserve">na to, że handel i marketing są obszarami, w których rozwiązania inteligentne mają największy potencjał. W obszarze sprzedaży uczenie maszynowe może wspierać tzw. model NP2B (next product to buy), czyli prognozę, co konkretny klient kupi następnym razem – po to, by w odpowiednim czasie otrzymał odpowiednią rekomendację i reklamę, a w konsekwencji, by kupił to w </w:t>
      </w:r>
      <w:r w:rsidRPr="00A11B47">
        <w:rPr>
          <w:rFonts w:ascii="Tahoma" w:hAnsi="Tahoma" w:cs="Tahoma"/>
          <w:i/>
          <w:iCs/>
          <w:sz w:val="20"/>
          <w:szCs w:val="20"/>
        </w:rPr>
        <w:t xml:space="preserve">moim </w:t>
      </w:r>
      <w:r w:rsidRPr="00A11B47">
        <w:rPr>
          <w:rFonts w:ascii="Tahoma" w:hAnsi="Tahoma" w:cs="Tahoma"/>
          <w:sz w:val="20"/>
          <w:szCs w:val="20"/>
        </w:rPr>
        <w:t>sklepie, nie zaś sklepie konkurencji</w:t>
      </w:r>
      <w:r w:rsidRPr="00A11B47">
        <w:rPr>
          <w:rFonts w:ascii="Tahoma" w:hAnsi="Tahoma" w:cs="Tahoma"/>
          <w:i/>
          <w:iCs/>
          <w:sz w:val="20"/>
          <w:szCs w:val="20"/>
        </w:rPr>
        <w:t>.</w:t>
      </w:r>
      <w:r w:rsidRPr="00A11B47">
        <w:rPr>
          <w:rFonts w:ascii="Tahoma" w:hAnsi="Tahoma" w:cs="Tahoma"/>
          <w:sz w:val="20"/>
          <w:szCs w:val="20"/>
        </w:rPr>
        <w:t xml:space="preserve"> Podobnie, systemy SI mogą nam rekomendować kolejne, optymalne działanie, które warto podjąć w relacjach z klientem (Next-Best-Offer/Action). Nie mówiąc już o opersonalizacji interakcji, ofert czy dynamicznych cennikach.</w:t>
      </w:r>
    </w:p>
    <w:p w14:paraId="4403658E" w14:textId="77777777" w:rsidR="00151F88" w:rsidRPr="00A11B47" w:rsidRDefault="00151F88" w:rsidP="00BD32B0">
      <w:pPr>
        <w:jc w:val="both"/>
        <w:rPr>
          <w:rFonts w:ascii="Tahoma" w:hAnsi="Tahoma" w:cs="Tahoma"/>
          <w:b/>
          <w:bCs/>
          <w:sz w:val="20"/>
          <w:szCs w:val="20"/>
        </w:rPr>
      </w:pPr>
      <w:r w:rsidRPr="00A11B47">
        <w:rPr>
          <w:rFonts w:ascii="Tahoma" w:hAnsi="Tahoma" w:cs="Tahoma"/>
          <w:b/>
          <w:bCs/>
          <w:sz w:val="20"/>
          <w:szCs w:val="20"/>
        </w:rPr>
        <w:t>Churn, prognoza popytu i automatyzacja</w:t>
      </w:r>
    </w:p>
    <w:p w14:paraId="515BC550"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Algorytmy uczenia maszynowego są też w stanie też prognozować churn, czyli ryzyko odejścia danego klienta do konkurencji. Dzięki tej wiedzy firmy (np. dostawcy usług telekomunikacyjnych) mogą odpowiednio wcześniej skontaktować się z klientem i zaoferować mu lepszą ofertę (co jest często mniej kosztowne niż jego utrata).</w:t>
      </w:r>
    </w:p>
    <w:p w14:paraId="48AD67E7"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Kolejne zastosowanie w handlu to prognoza popytu na towar. Dzięki tej wiedzy firmy mogą optymalizować zakupy od dostawców: nie kupować za dużo (co generuje koszty obsługi magazynowej oraz zamraża kapitał), ani za mało (co może skutkować brakiem dostępności towaru).</w:t>
      </w:r>
    </w:p>
    <w:p w14:paraId="3F77DA97"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Systemy tego typu, z zaimplementowaną funkcją ciągłego uczenia się w oparciu o dane historyczne i podejmowane decyzje, mogą z czasem podejmować decyzji lepsze od ludzi. W naturalny sposób rodzi to ryzyko dla pracowników, którzy aktualnie pełnią takie funkcje w organizacjach. Warto o tym zagrożeniu pamiętać podejmując decyzje o ewentualnych wdrożeniach.</w:t>
      </w:r>
    </w:p>
    <w:p w14:paraId="7409AC3E" w14:textId="77777777" w:rsidR="00151F88" w:rsidRPr="00A11B47" w:rsidRDefault="00151F88" w:rsidP="00BD32B0">
      <w:pPr>
        <w:jc w:val="both"/>
        <w:rPr>
          <w:rFonts w:ascii="Tahoma" w:hAnsi="Tahoma" w:cs="Tahoma"/>
          <w:b/>
          <w:bCs/>
          <w:sz w:val="20"/>
          <w:szCs w:val="20"/>
        </w:rPr>
      </w:pPr>
      <w:r w:rsidRPr="00A11B47">
        <w:rPr>
          <w:rFonts w:ascii="Tahoma" w:hAnsi="Tahoma" w:cs="Tahoma"/>
          <w:b/>
          <w:bCs/>
          <w:sz w:val="20"/>
          <w:szCs w:val="20"/>
        </w:rPr>
        <w:t>Nie tylko handel</w:t>
      </w:r>
    </w:p>
    <w:p w14:paraId="3221BB1D"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 xml:space="preserve">Sektory handlu i marketingu to niejedyne obszary, w których korzyści z wykorzystania narzędzi uczenia maszynowego są aż nadto widoczne. W przemyśle i produkcji rozwój modeli ML może wspomóc przewidywanie awarii poszczególnych komponentów a co za tym idzie – przynieść oszczędność wynikającą z ograniczenia przestojów w pracy zakładu oraz liczby przeglądów technicznych konkretnych urządzeń. </w:t>
      </w:r>
    </w:p>
    <w:p w14:paraId="53141349" w14:textId="77777777" w:rsidR="00151F88" w:rsidRPr="00A11B47" w:rsidRDefault="00151F88" w:rsidP="00BD32B0">
      <w:pPr>
        <w:jc w:val="both"/>
        <w:rPr>
          <w:rFonts w:ascii="Tahoma" w:hAnsi="Tahoma" w:cs="Tahoma"/>
          <w:sz w:val="20"/>
          <w:szCs w:val="20"/>
        </w:rPr>
      </w:pPr>
      <w:r w:rsidRPr="00A11B47">
        <w:rPr>
          <w:rFonts w:ascii="Tahoma" w:hAnsi="Tahoma" w:cs="Tahoma"/>
          <w:sz w:val="20"/>
          <w:szCs w:val="20"/>
        </w:rPr>
        <w:t xml:space="preserve">W ostatnich miesiącach można zaobserwować poważne zaburzenia łańcuchów dostaw: okazuje się, że przy dużym popycie firmy mogą sprzedać praktycznie wszystko, zaś wąskim gardłem jest dostępność towarów i/lub komponentów potrzebnych do produkcji. W efekcie, można się spodziewać, że systemy uczenia maszynowego będą wykorzystywane nie tyle do maksymalizacji sprzedaży, co do optymalizacji zatowarowania w relacji do popytu. </w:t>
      </w:r>
    </w:p>
    <w:p w14:paraId="182F0BE1" w14:textId="6F63A2A8" w:rsidR="0053416C" w:rsidRPr="009F7960" w:rsidRDefault="00151F88" w:rsidP="00BD32B0">
      <w:pPr>
        <w:jc w:val="both"/>
        <w:rPr>
          <w:rFonts w:ascii="Tahoma" w:hAnsi="Tahoma" w:cs="Tahoma"/>
          <w:sz w:val="20"/>
          <w:szCs w:val="20"/>
        </w:rPr>
      </w:pPr>
      <w:r w:rsidRPr="00A11B47">
        <w:rPr>
          <w:rFonts w:ascii="Tahoma" w:hAnsi="Tahoma" w:cs="Tahoma"/>
          <w:sz w:val="20"/>
          <w:szCs w:val="20"/>
        </w:rPr>
        <w:t xml:space="preserve">Przykłady można by mnożyć… </w:t>
      </w:r>
    </w:p>
    <w:p w14:paraId="49EDB4A7" w14:textId="4213DF3D" w:rsidR="006C7D9B" w:rsidRPr="00A11B47" w:rsidRDefault="00BB70B2" w:rsidP="00BD32B0">
      <w:pPr>
        <w:spacing w:after="0" w:line="276" w:lineRule="auto"/>
        <w:jc w:val="both"/>
        <w:rPr>
          <w:rFonts w:ascii="Tahoma" w:eastAsia="Times New Roman" w:hAnsi="Tahoma" w:cs="Tahoma"/>
          <w:b/>
          <w:bCs/>
          <w:color w:val="4472C4" w:themeColor="accent1"/>
          <w:sz w:val="20"/>
          <w:szCs w:val="20"/>
          <w:lang w:eastAsia="pl-PL"/>
        </w:rPr>
      </w:pPr>
      <w:r w:rsidRPr="00A11B47">
        <w:rPr>
          <w:rFonts w:ascii="Tahoma" w:eastAsia="Times New Roman" w:hAnsi="Tahoma" w:cs="Tahoma"/>
          <w:b/>
          <w:bCs/>
          <w:color w:val="4472C4" w:themeColor="accent1"/>
          <w:sz w:val="20"/>
          <w:szCs w:val="20"/>
          <w:lang w:eastAsia="pl-PL"/>
        </w:rPr>
        <w:t>dr hab</w:t>
      </w:r>
      <w:r w:rsidR="006C7D9B" w:rsidRPr="00A11B47">
        <w:rPr>
          <w:rFonts w:ascii="Tahoma" w:eastAsia="Times New Roman" w:hAnsi="Tahoma" w:cs="Tahoma"/>
          <w:b/>
          <w:bCs/>
          <w:color w:val="4472C4" w:themeColor="accent1"/>
          <w:sz w:val="20"/>
          <w:szCs w:val="20"/>
          <w:lang w:eastAsia="pl-PL"/>
        </w:rPr>
        <w:t>.</w:t>
      </w:r>
      <w:r w:rsidRPr="00A11B47">
        <w:rPr>
          <w:rFonts w:ascii="Tahoma" w:eastAsia="Times New Roman" w:hAnsi="Tahoma" w:cs="Tahoma"/>
          <w:b/>
          <w:bCs/>
          <w:color w:val="4472C4" w:themeColor="accent1"/>
          <w:sz w:val="20"/>
          <w:szCs w:val="20"/>
          <w:lang w:eastAsia="pl-PL"/>
        </w:rPr>
        <w:t xml:space="preserve"> Andrzej Wodecki</w:t>
      </w:r>
    </w:p>
    <w:p w14:paraId="0F680187" w14:textId="7E9B202C" w:rsidR="00BB70B2" w:rsidRPr="00A11B47" w:rsidRDefault="00BB70B2" w:rsidP="00BD32B0">
      <w:pPr>
        <w:spacing w:after="0" w:line="276" w:lineRule="auto"/>
        <w:jc w:val="both"/>
        <w:rPr>
          <w:rFonts w:ascii="Tahoma" w:eastAsia="Times New Roman" w:hAnsi="Tahoma" w:cs="Tahoma"/>
          <w:b/>
          <w:bCs/>
          <w:color w:val="4472C4" w:themeColor="accent1"/>
          <w:sz w:val="20"/>
          <w:szCs w:val="20"/>
          <w:lang w:eastAsia="pl-PL"/>
        </w:rPr>
      </w:pPr>
      <w:r w:rsidRPr="00A11B47">
        <w:rPr>
          <w:rFonts w:ascii="Tahoma" w:eastAsia="Times New Roman" w:hAnsi="Tahoma" w:cs="Tahoma"/>
          <w:b/>
          <w:bCs/>
          <w:color w:val="4472C4" w:themeColor="accent1"/>
          <w:sz w:val="20"/>
          <w:szCs w:val="20"/>
          <w:lang w:eastAsia="pl-PL"/>
        </w:rPr>
        <w:t>Szkoła Biznesu Politechniki Warszawskiej</w:t>
      </w:r>
    </w:p>
    <w:p w14:paraId="173E8EE6" w14:textId="77777777" w:rsidR="001D1A90" w:rsidRDefault="001D1A90" w:rsidP="00BD32B0">
      <w:pPr>
        <w:jc w:val="both"/>
        <w:rPr>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A00C41" w:rsidRDefault="0008436F" w:rsidP="00BD32B0">
      <w:pPr>
        <w:spacing w:after="0" w:line="276" w:lineRule="auto"/>
        <w:jc w:val="both"/>
        <w:rPr>
          <w:rFonts w:ascii="Tahoma" w:hAnsi="Tahoma" w:cs="Tahoma"/>
          <w:b/>
          <w:color w:val="4472C4" w:themeColor="accent1"/>
        </w:rPr>
      </w:pPr>
      <w:r w:rsidRPr="00A00C41">
        <w:rPr>
          <w:rFonts w:ascii="Tahoma" w:hAnsi="Tahoma" w:cs="Tahoma"/>
          <w:b/>
          <w:color w:val="4472C4" w:themeColor="accent1"/>
        </w:rPr>
        <w:t>O Szkole Biznesu Politechniki Warszawskiej</w:t>
      </w:r>
    </w:p>
    <w:p w14:paraId="6EE0F7DC" w14:textId="77777777" w:rsidR="0008436F" w:rsidRPr="00A00C41" w:rsidRDefault="0008436F" w:rsidP="00BD32B0">
      <w:pPr>
        <w:spacing w:after="0" w:line="276" w:lineRule="auto"/>
        <w:jc w:val="both"/>
        <w:rPr>
          <w:rFonts w:ascii="Tahoma" w:hAnsi="Tahoma" w:cs="Tahoma"/>
          <w:b/>
          <w:color w:val="4472C4" w:themeColor="accent1"/>
        </w:rPr>
      </w:pPr>
    </w:p>
    <w:p w14:paraId="4791B3E0" w14:textId="77777777" w:rsidR="0008436F" w:rsidRPr="00A00C41" w:rsidRDefault="0008436F" w:rsidP="00BD32B0">
      <w:pPr>
        <w:spacing w:after="0" w:line="276" w:lineRule="auto"/>
        <w:jc w:val="both"/>
        <w:rPr>
          <w:rFonts w:ascii="Tahoma" w:hAnsi="Tahoma" w:cs="Tahoma"/>
          <w:b/>
          <w:color w:val="4472C4" w:themeColor="accent1"/>
        </w:rPr>
      </w:pPr>
      <w:r w:rsidRPr="00A00C41">
        <w:rPr>
          <w:rFonts w:ascii="Tahoma" w:hAnsi="Tahoma" w:cs="Tahoma"/>
          <w:b/>
          <w:color w:val="4472C4" w:themeColor="accent1"/>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A00C41" w:rsidRDefault="0008436F" w:rsidP="00BD32B0">
      <w:pPr>
        <w:spacing w:after="0" w:line="276" w:lineRule="auto"/>
        <w:jc w:val="both"/>
        <w:rPr>
          <w:rFonts w:ascii="Tahoma" w:hAnsi="Tahoma" w:cs="Tahoma"/>
          <w:b/>
          <w:color w:val="4472C4" w:themeColor="accent1"/>
        </w:rPr>
      </w:pPr>
      <w:r w:rsidRPr="00A00C41">
        <w:rPr>
          <w:rFonts w:ascii="Tahoma" w:hAnsi="Tahoma" w:cs="Tahoma"/>
          <w:b/>
          <w:color w:val="4472C4" w:themeColor="accent1"/>
        </w:rPr>
        <w:lastRenderedPageBreak/>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A00C41" w:rsidRDefault="0008436F" w:rsidP="00BD32B0">
      <w:pPr>
        <w:spacing w:line="276" w:lineRule="auto"/>
        <w:jc w:val="both"/>
        <w:rPr>
          <w:rFonts w:ascii="Tahoma" w:hAnsi="Tahoma" w:cs="Tahoma"/>
          <w:b/>
          <w:bCs/>
          <w:color w:val="4472C4" w:themeColor="accent1"/>
        </w:rPr>
      </w:pPr>
    </w:p>
    <w:p w14:paraId="42984725" w14:textId="77777777" w:rsidR="0008436F" w:rsidRPr="00A00C41" w:rsidRDefault="0008436F" w:rsidP="00BD32B0">
      <w:pPr>
        <w:spacing w:line="276" w:lineRule="auto"/>
        <w:jc w:val="both"/>
        <w:rPr>
          <w:rFonts w:ascii="Tahoma" w:hAnsi="Tahoma" w:cs="Tahoma"/>
          <w:b/>
          <w:color w:val="4472C4" w:themeColor="accent1"/>
        </w:rPr>
      </w:pPr>
      <w:r w:rsidRPr="00A00C41">
        <w:rPr>
          <w:rFonts w:ascii="Tahoma" w:hAnsi="Tahoma" w:cs="Tahoma"/>
          <w:b/>
          <w:color w:val="4472C4" w:themeColor="accent1"/>
        </w:rPr>
        <w:t>***</w:t>
      </w:r>
    </w:p>
    <w:p w14:paraId="66EE25B7" w14:textId="77777777" w:rsidR="0008436F" w:rsidRPr="00A00C41" w:rsidRDefault="0008436F" w:rsidP="00BD32B0">
      <w:pPr>
        <w:spacing w:after="0" w:line="276" w:lineRule="auto"/>
        <w:jc w:val="both"/>
        <w:rPr>
          <w:rFonts w:ascii="Tahoma" w:hAnsi="Tahoma" w:cs="Tahoma"/>
          <w:b/>
          <w:color w:val="4472C4" w:themeColor="accent1"/>
        </w:rPr>
      </w:pPr>
      <w:r w:rsidRPr="00A00C41">
        <w:rPr>
          <w:rFonts w:ascii="Tahoma" w:hAnsi="Tahoma" w:cs="Tahoma"/>
          <w:b/>
          <w:color w:val="4472C4" w:themeColor="accent1"/>
        </w:rPr>
        <w:t xml:space="preserve">Kontakt dla mediów: </w:t>
      </w:r>
    </w:p>
    <w:p w14:paraId="5929BE10" w14:textId="77777777" w:rsidR="0008436F" w:rsidRPr="00A00C41" w:rsidRDefault="0008436F" w:rsidP="00BD32B0">
      <w:pPr>
        <w:spacing w:after="0" w:line="276" w:lineRule="auto"/>
        <w:jc w:val="both"/>
        <w:rPr>
          <w:rFonts w:ascii="Tahoma" w:hAnsi="Tahoma" w:cs="Tahoma"/>
          <w:b/>
          <w:color w:val="4472C4" w:themeColor="accent1"/>
        </w:rPr>
      </w:pPr>
      <w:r w:rsidRPr="00A00C41">
        <w:rPr>
          <w:rFonts w:ascii="Tahoma" w:hAnsi="Tahoma" w:cs="Tahoma"/>
          <w:b/>
          <w:color w:val="4472C4" w:themeColor="accent1"/>
        </w:rPr>
        <w:t>Mariusz Jaroń</w:t>
      </w:r>
    </w:p>
    <w:p w14:paraId="316D4AD3" w14:textId="77777777" w:rsidR="0008436F" w:rsidRPr="00A00C41" w:rsidRDefault="009F7960" w:rsidP="00BD32B0">
      <w:pPr>
        <w:spacing w:after="0" w:line="276" w:lineRule="auto"/>
        <w:jc w:val="both"/>
        <w:rPr>
          <w:rFonts w:ascii="Tahoma" w:hAnsi="Tahoma" w:cs="Tahoma"/>
          <w:b/>
          <w:color w:val="4472C4" w:themeColor="accent1"/>
        </w:rPr>
      </w:pPr>
      <w:hyperlink r:id="rId8" w:history="1">
        <w:r w:rsidR="0008436F" w:rsidRPr="00A00C41">
          <w:rPr>
            <w:rStyle w:val="Hipercze"/>
            <w:rFonts w:ascii="Tahoma" w:hAnsi="Tahoma" w:cs="Tahoma"/>
            <w:b/>
            <w:color w:val="4472C4" w:themeColor="accent1"/>
          </w:rPr>
          <w:t>m.jaron@comunicativo.pl</w:t>
        </w:r>
      </w:hyperlink>
      <w:r w:rsidR="0008436F" w:rsidRPr="00A00C41">
        <w:rPr>
          <w:rFonts w:ascii="Tahoma" w:hAnsi="Tahoma" w:cs="Tahoma"/>
          <w:b/>
          <w:color w:val="4472C4" w:themeColor="accent1"/>
        </w:rPr>
        <w:tab/>
      </w:r>
    </w:p>
    <w:p w14:paraId="48DC406B" w14:textId="77777777" w:rsidR="0008436F" w:rsidRPr="00A00C41" w:rsidRDefault="0008436F" w:rsidP="00BD32B0">
      <w:pPr>
        <w:spacing w:after="0" w:line="276" w:lineRule="auto"/>
        <w:jc w:val="both"/>
        <w:rPr>
          <w:rFonts w:ascii="Tahoma" w:hAnsi="Tahoma" w:cs="Tahoma"/>
          <w:b/>
          <w:color w:val="4472C4" w:themeColor="accent1"/>
        </w:rPr>
      </w:pPr>
      <w:r w:rsidRPr="00A00C41">
        <w:rPr>
          <w:rFonts w:ascii="Tahoma" w:hAnsi="Tahoma" w:cs="Tahoma"/>
          <w:b/>
          <w:color w:val="4472C4" w:themeColor="accent1"/>
        </w:rPr>
        <w:t>794490680</w:t>
      </w:r>
    </w:p>
    <w:p w14:paraId="44A01273" w14:textId="77777777" w:rsidR="0008436F" w:rsidRPr="00791D4C" w:rsidRDefault="0008436F" w:rsidP="00BD32B0">
      <w:pPr>
        <w:spacing w:line="276" w:lineRule="auto"/>
        <w:jc w:val="both"/>
        <w:rPr>
          <w:rFonts w:ascii="Tahoma" w:hAnsi="Tahoma" w:cs="Tahoma"/>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44922">
      <w:headerReference w:type="default" r:id="rId9"/>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9797" w14:textId="77777777" w:rsidR="00A0069E" w:rsidRDefault="00A0069E" w:rsidP="00D84CB4">
      <w:pPr>
        <w:spacing w:after="0" w:line="240" w:lineRule="auto"/>
      </w:pPr>
      <w:r>
        <w:separator/>
      </w:r>
    </w:p>
  </w:endnote>
  <w:endnote w:type="continuationSeparator" w:id="0">
    <w:p w14:paraId="5A4C9648" w14:textId="77777777" w:rsidR="00A0069E" w:rsidRDefault="00A0069E"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3E95" w14:textId="77777777" w:rsidR="00A0069E" w:rsidRDefault="00A0069E" w:rsidP="00D84CB4">
      <w:pPr>
        <w:spacing w:after="0" w:line="240" w:lineRule="auto"/>
      </w:pPr>
      <w:r>
        <w:separator/>
      </w:r>
    </w:p>
  </w:footnote>
  <w:footnote w:type="continuationSeparator" w:id="0">
    <w:p w14:paraId="3442196A" w14:textId="77777777" w:rsidR="00A0069E" w:rsidRDefault="00A0069E"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1F88"/>
    <w:rsid w:val="00153F26"/>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7DFE"/>
    <w:rsid w:val="006456F6"/>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654B9"/>
    <w:rsid w:val="00A65A6F"/>
    <w:rsid w:val="00A67C2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5ED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921</Words>
  <Characters>5528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8</cp:revision>
  <cp:lastPrinted>2019-03-28T13:21:00Z</cp:lastPrinted>
  <dcterms:created xsi:type="dcterms:W3CDTF">2021-11-18T08:07:00Z</dcterms:created>
  <dcterms:modified xsi:type="dcterms:W3CDTF">2021-12-08T08:19:00Z</dcterms:modified>
</cp:coreProperties>
</file>