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042B1148"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33519E">
        <w:rPr>
          <w:rFonts w:ascii="Tahoma" w:hAnsi="Tahoma" w:cs="Tahoma"/>
        </w:rPr>
        <w:t>30</w:t>
      </w:r>
      <w:r w:rsidR="002721DA" w:rsidRPr="000B0128">
        <w:rPr>
          <w:rFonts w:ascii="Tahoma" w:hAnsi="Tahoma" w:cs="Tahoma"/>
        </w:rPr>
        <w:t xml:space="preserve"> </w:t>
      </w:r>
      <w:r w:rsidR="00151F88">
        <w:rPr>
          <w:rFonts w:ascii="Tahoma" w:hAnsi="Tahoma" w:cs="Tahoma"/>
        </w:rPr>
        <w:t>grudnia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BD32B0">
      <w:pPr>
        <w:spacing w:line="276" w:lineRule="auto"/>
        <w:jc w:val="both"/>
        <w:rPr>
          <w:rFonts w:ascii="Tahoma" w:hAnsi="Tahoma" w:cs="Tahoma"/>
          <w:b/>
          <w:bCs/>
        </w:rPr>
      </w:pPr>
    </w:p>
    <w:p w14:paraId="6EF7E77A" w14:textId="309A93FE" w:rsidR="00574E7A" w:rsidRPr="000B0128" w:rsidRDefault="009F6D7A" w:rsidP="00BD32B0">
      <w:pPr>
        <w:spacing w:line="276" w:lineRule="auto"/>
        <w:jc w:val="both"/>
        <w:rPr>
          <w:rFonts w:ascii="Tahoma" w:hAnsi="Tahoma" w:cs="Tahoma"/>
        </w:rPr>
      </w:pPr>
      <w:r>
        <w:rPr>
          <w:rFonts w:ascii="Tahoma" w:hAnsi="Tahoma" w:cs="Tahoma"/>
        </w:rPr>
        <w:t>Informacja prasowa</w:t>
      </w:r>
    </w:p>
    <w:p w14:paraId="070B45BD" w14:textId="5C640D14" w:rsidR="002721DA" w:rsidRDefault="002721DA" w:rsidP="00BD32B0">
      <w:pPr>
        <w:spacing w:line="276" w:lineRule="auto"/>
        <w:jc w:val="both"/>
        <w:rPr>
          <w:rFonts w:ascii="Tahoma" w:hAnsi="Tahoma" w:cs="Tahoma"/>
          <w:b/>
          <w:bCs/>
        </w:rPr>
      </w:pPr>
    </w:p>
    <w:p w14:paraId="2CCCCC0E" w14:textId="6D899449" w:rsidR="00342BE0" w:rsidRPr="00342BE0" w:rsidRDefault="008E54B0" w:rsidP="00342BE0">
      <w:pPr>
        <w:jc w:val="center"/>
        <w:rPr>
          <w:rFonts w:ascii="Tahoma" w:hAnsi="Tahoma" w:cs="Tahoma"/>
          <w:b/>
          <w:bCs/>
          <w:color w:val="2F5496" w:themeColor="accent1" w:themeShade="BF"/>
          <w:sz w:val="32"/>
          <w:szCs w:val="32"/>
        </w:rPr>
      </w:pPr>
      <w:r>
        <w:rPr>
          <w:rFonts w:ascii="Tahoma" w:hAnsi="Tahoma" w:cs="Tahoma"/>
          <w:b/>
          <w:bCs/>
          <w:color w:val="2F5496" w:themeColor="accent1" w:themeShade="BF"/>
          <w:sz w:val="32"/>
          <w:szCs w:val="32"/>
        </w:rPr>
        <w:t xml:space="preserve">Cztery </w:t>
      </w:r>
      <w:r w:rsidR="0000526A">
        <w:rPr>
          <w:rFonts w:ascii="Tahoma" w:hAnsi="Tahoma" w:cs="Tahoma"/>
          <w:b/>
          <w:bCs/>
          <w:color w:val="2F5496" w:themeColor="accent1" w:themeShade="BF"/>
          <w:sz w:val="32"/>
          <w:szCs w:val="32"/>
        </w:rPr>
        <w:t>wyzwania menedżerów w 2021. Podsumowanie roku „pandemicznej stabilizacji”</w:t>
      </w:r>
    </w:p>
    <w:p w14:paraId="47BD0B8E" w14:textId="77777777" w:rsidR="00342BE0" w:rsidRPr="00342BE0" w:rsidRDefault="00342BE0" w:rsidP="00342BE0">
      <w:pPr>
        <w:jc w:val="both"/>
        <w:rPr>
          <w:rFonts w:ascii="Tahoma" w:hAnsi="Tahoma" w:cs="Tahoma"/>
          <w:b/>
          <w:bCs/>
        </w:rPr>
      </w:pPr>
      <w:r w:rsidRPr="00342BE0">
        <w:rPr>
          <w:rFonts w:ascii="Tahoma" w:hAnsi="Tahoma" w:cs="Tahoma"/>
          <w:b/>
          <w:bCs/>
        </w:rPr>
        <w:t>O ile 2020 był rokiem szoku pandemicznego, o tyle następny upłynął pod znakiem pandemicznej… stabilizacji. Nadal byliśmy w szoku, ale nauczyliśmy się do pewnego stopnia z nim sobie radzić. Rewolucji nie było i nie będzie – mijający rok pogłębił dotychczasowe trendy, a nadchodzący 2022 nie będzie pod tym względem inny – prognozuje Anna Radzikowska, Executive Coach i wykładowczyni w Szkole Biznesu Politechniki Warszawskiej.</w:t>
      </w:r>
    </w:p>
    <w:p w14:paraId="3A711197" w14:textId="77777777" w:rsidR="00342BE0" w:rsidRPr="00342BE0" w:rsidRDefault="00342BE0" w:rsidP="00342BE0">
      <w:pPr>
        <w:jc w:val="both"/>
        <w:rPr>
          <w:rFonts w:ascii="Tahoma" w:hAnsi="Tahoma" w:cs="Tahoma"/>
        </w:rPr>
      </w:pPr>
      <w:r w:rsidRPr="00342BE0">
        <w:rPr>
          <w:rFonts w:ascii="Tahoma" w:hAnsi="Tahoma" w:cs="Tahoma"/>
        </w:rPr>
        <w:t xml:space="preserve">Nie da się ukryć, że pandemia napędziła pewne trendy, które mocno przyspieszyły i przyniosły korzyść dla biznesu – wiele przedsiębiorstw rozwinęło się i wzbogaciło dzięki pandemii. W zdecydowanej większości mijający rok był jednak czasem wyzwań. Trudności, z którymi musieli mierzyć się menedżerowie w 2021 roku, wynikały z jednej strony z konieczności zmierzenia się z nadspodziewanie szybkim rozwojem a z drugiej z perturbacji okołopandemicznych takich jak destabilizacja łańcuchów dostaw, lockdowny czy ciągła konieczność reorganizacji warunków pracy. </w:t>
      </w:r>
    </w:p>
    <w:p w14:paraId="1EBCA0E1" w14:textId="77777777" w:rsidR="00342BE0" w:rsidRPr="00342BE0" w:rsidRDefault="00342BE0" w:rsidP="00342BE0">
      <w:pPr>
        <w:jc w:val="both"/>
        <w:rPr>
          <w:rFonts w:ascii="Tahoma" w:hAnsi="Tahoma" w:cs="Tahoma"/>
        </w:rPr>
      </w:pPr>
      <w:r w:rsidRPr="00342BE0">
        <w:rPr>
          <w:rFonts w:ascii="Tahoma" w:hAnsi="Tahoma" w:cs="Tahoma"/>
        </w:rPr>
        <w:t>W obszarze przywództwa można było dostrzec 4 dominujące zjawiska.</w:t>
      </w:r>
    </w:p>
    <w:p w14:paraId="4574951B" w14:textId="77777777" w:rsidR="00342BE0" w:rsidRPr="00342BE0" w:rsidRDefault="00342BE0" w:rsidP="00342BE0">
      <w:pPr>
        <w:jc w:val="both"/>
        <w:rPr>
          <w:rFonts w:ascii="Tahoma" w:hAnsi="Tahoma" w:cs="Tahoma"/>
          <w:b/>
          <w:bCs/>
        </w:rPr>
      </w:pPr>
      <w:r w:rsidRPr="00342BE0">
        <w:rPr>
          <w:rFonts w:ascii="Tahoma" w:hAnsi="Tahoma" w:cs="Tahoma"/>
          <w:b/>
          <w:bCs/>
        </w:rPr>
        <w:t>Po pierwsze - integracja technologiczna</w:t>
      </w:r>
    </w:p>
    <w:p w14:paraId="2488FD95" w14:textId="77777777" w:rsidR="00342BE0" w:rsidRPr="00342BE0" w:rsidRDefault="00342BE0" w:rsidP="00342BE0">
      <w:pPr>
        <w:jc w:val="both"/>
        <w:rPr>
          <w:rFonts w:ascii="Tahoma" w:hAnsi="Tahoma" w:cs="Tahoma"/>
        </w:rPr>
      </w:pPr>
      <w:r w:rsidRPr="00342BE0">
        <w:rPr>
          <w:rFonts w:ascii="Tahoma" w:hAnsi="Tahoma" w:cs="Tahoma"/>
        </w:rPr>
        <w:t>Obserwujemy bardzo szybki wzrost udziału technologii nie tylko w biznesie, ale i w rzeczywistości, która otacza nas na co dzień. Ogromny rozwój e-commerce, pracy zdalnej, sztucznej inteligencji, AR i VR czy coraz wyraźniejsze sygnały zapowiadające kolejne rewolucje technologiczne m.in. metaverse czy WEB3 to tylko przykłady wielkiej technologicznej fali, która przechodzi przez naszą cywilizację</w:t>
      </w:r>
      <w:r w:rsidRPr="00342BE0">
        <w:rPr>
          <w:rFonts w:ascii="Tahoma" w:hAnsi="Tahoma" w:cs="Tahoma"/>
          <w:i/>
          <w:iCs/>
        </w:rPr>
        <w:t xml:space="preserve">. </w:t>
      </w:r>
      <w:r w:rsidRPr="00342BE0">
        <w:rPr>
          <w:rFonts w:ascii="Tahoma" w:hAnsi="Tahoma" w:cs="Tahoma"/>
        </w:rPr>
        <w:t xml:space="preserve">Lider w 2021 rozumie już, że technologia to coś, z czym musi się integrować, i coś, co staje się częścią jego tożsamości. Jest coraz bardziej zmuszony do wchodzenia „głębiej” i szukania coraz bardziej specjalistycznej wiedzy z obszaru technologii, a z drugiej strony – do bycia człowiekiem, dbania o relacje, do pozostawania w ciągłym kontakcie z ludźmi i tworzenia silnych profesjonalnych więzi. Rodzić to może pewnego rodzaju konflikt wewnętrzny, którym trzeba umieć zarządzać. </w:t>
      </w:r>
    </w:p>
    <w:p w14:paraId="36750FA0" w14:textId="77777777" w:rsidR="00342BE0" w:rsidRPr="00342BE0" w:rsidRDefault="00342BE0" w:rsidP="00342BE0">
      <w:pPr>
        <w:jc w:val="both"/>
        <w:rPr>
          <w:rFonts w:ascii="Tahoma" w:hAnsi="Tahoma" w:cs="Tahoma"/>
          <w:b/>
          <w:bCs/>
        </w:rPr>
      </w:pPr>
      <w:r w:rsidRPr="00342BE0">
        <w:rPr>
          <w:rFonts w:ascii="Tahoma" w:hAnsi="Tahoma" w:cs="Tahoma"/>
          <w:b/>
          <w:bCs/>
        </w:rPr>
        <w:t>Po drugie – pokora</w:t>
      </w:r>
    </w:p>
    <w:p w14:paraId="43E54671" w14:textId="77777777" w:rsidR="00342BE0" w:rsidRPr="00342BE0" w:rsidRDefault="00342BE0" w:rsidP="00342BE0">
      <w:pPr>
        <w:jc w:val="both"/>
        <w:rPr>
          <w:rFonts w:ascii="Tahoma" w:hAnsi="Tahoma" w:cs="Tahoma"/>
        </w:rPr>
      </w:pPr>
      <w:r w:rsidRPr="00342BE0">
        <w:rPr>
          <w:rFonts w:ascii="Tahoma" w:hAnsi="Tahoma" w:cs="Tahoma"/>
        </w:rPr>
        <w:t>Po drugie – rozwój kompetencji przywódczych w tak zwariowanym czasie wymaga ogromnych pokładów pokory. W dobie pandemii od liderów wyraźnie oczekiwano odwagi w podejmowaniu decyzji, a jednocześnie rzeczywistość boleśnie uczyła ich pokory. Co warto podkreślić – pokora nie ma nic wspólnego z brakiem odwagi. Pokora może być dowodem ogromnej odwagi do przyznania się, że  „wiem, że nic nie wiem”, do otwartego podważania swoich dotychczasowych założeń i poglądów, odrzucania schematycznego myślenia . Potrzeba takich postaw w przywództwie nie jest nowa, ale odnoszę wrażenie, że pandemia przypieczętowała ich skuteczność.</w:t>
      </w:r>
    </w:p>
    <w:p w14:paraId="4DCC244F" w14:textId="77777777" w:rsidR="00342BE0" w:rsidRPr="00342BE0" w:rsidRDefault="00342BE0" w:rsidP="00342BE0">
      <w:pPr>
        <w:jc w:val="both"/>
        <w:rPr>
          <w:rFonts w:ascii="Tahoma" w:hAnsi="Tahoma" w:cs="Tahoma"/>
          <w:b/>
          <w:bCs/>
        </w:rPr>
      </w:pPr>
      <w:r w:rsidRPr="00342BE0">
        <w:rPr>
          <w:rFonts w:ascii="Tahoma" w:hAnsi="Tahoma" w:cs="Tahoma"/>
          <w:b/>
          <w:bCs/>
        </w:rPr>
        <w:lastRenderedPageBreak/>
        <w:t>Po trzecie – wrażliwość społeczna</w:t>
      </w:r>
    </w:p>
    <w:p w14:paraId="2B99BA93" w14:textId="77777777" w:rsidR="00342BE0" w:rsidRPr="00342BE0" w:rsidRDefault="00342BE0" w:rsidP="00342BE0">
      <w:pPr>
        <w:jc w:val="both"/>
        <w:rPr>
          <w:rFonts w:ascii="Tahoma" w:hAnsi="Tahoma" w:cs="Tahoma"/>
        </w:rPr>
      </w:pPr>
      <w:r w:rsidRPr="00342BE0">
        <w:rPr>
          <w:rFonts w:ascii="Tahoma" w:hAnsi="Tahoma" w:cs="Tahoma"/>
        </w:rPr>
        <w:t>Długotrwałość i złożoność aktualnej sytuacji w skali globalnej spowodowała pogłębienie się niektórych problemów społecznych, w tym nierówności społecznych. Okazuje się, że pandemia najbardziej dotknęła grupy i tak już defaworyzowane – z najbiedniejszych regionów, mniejszości, kobiety. Obserwujemy narastającą z tego powodu frustrację. Biznes nie jest i nie może być wobec niej obojętny.</w:t>
      </w:r>
    </w:p>
    <w:p w14:paraId="43976501" w14:textId="77777777" w:rsidR="00342BE0" w:rsidRPr="00342BE0" w:rsidRDefault="00342BE0" w:rsidP="00342BE0">
      <w:pPr>
        <w:jc w:val="both"/>
        <w:rPr>
          <w:rFonts w:ascii="Tahoma" w:hAnsi="Tahoma" w:cs="Tahoma"/>
        </w:rPr>
      </w:pPr>
      <w:r w:rsidRPr="00342BE0">
        <w:rPr>
          <w:rFonts w:ascii="Tahoma" w:hAnsi="Tahoma" w:cs="Tahoma"/>
        </w:rPr>
        <w:t>Nie dziwi więc, że w 2021 wrażliwość liderów w tym obszarze poddana była krytycznemu osądowi już nie tylko na poziomie działań organizacji, ale w kontekście indywidulnych postaw wobec potrzeb społecznych. Obok modeli B2B i B2C na popularności zyskują pojecia B2S (</w:t>
      </w:r>
      <w:r w:rsidRPr="00342BE0">
        <w:rPr>
          <w:rFonts w:ascii="Tahoma" w:hAnsi="Tahoma" w:cs="Tahoma"/>
          <w:i/>
          <w:iCs/>
        </w:rPr>
        <w:t>business to society) czy business to community a od zarządzających oczekuje się osobistego zaangażowania w tym obszarze</w:t>
      </w:r>
      <w:r w:rsidRPr="00342BE0">
        <w:rPr>
          <w:rFonts w:ascii="Tahoma" w:hAnsi="Tahoma" w:cs="Tahoma"/>
        </w:rPr>
        <w:t xml:space="preserve">. Trudno nie wiązać tego zjawiska z faktem, że coraz wyraźniejszy jest głos pokolenia Zet, bardziej empatycznego, świadomego i aktywnego, otwartego na inkluzywność, potrzeby jednostek i mniejszości. „Zetki” coraz bardziej będą ciągnąć nas w kierunku odpowiedzialności za wszystkich i budować w nas przekonanie, że przyszłość biznesu zależy od przyszłości całego ludzkiego ekosystemu. </w:t>
      </w:r>
    </w:p>
    <w:p w14:paraId="220ABBC5" w14:textId="77777777" w:rsidR="00342BE0" w:rsidRPr="00342BE0" w:rsidRDefault="00342BE0" w:rsidP="00342BE0">
      <w:pPr>
        <w:jc w:val="both"/>
        <w:rPr>
          <w:rFonts w:ascii="Tahoma" w:hAnsi="Tahoma" w:cs="Tahoma"/>
          <w:b/>
          <w:bCs/>
        </w:rPr>
      </w:pPr>
      <w:r w:rsidRPr="00342BE0">
        <w:rPr>
          <w:rFonts w:ascii="Tahoma" w:hAnsi="Tahoma" w:cs="Tahoma"/>
          <w:b/>
          <w:bCs/>
        </w:rPr>
        <w:t>Po czwarte – sustainability of work</w:t>
      </w:r>
    </w:p>
    <w:p w14:paraId="10D23755" w14:textId="77777777" w:rsidR="00342BE0" w:rsidRPr="00342BE0" w:rsidRDefault="00342BE0" w:rsidP="00342BE0">
      <w:pPr>
        <w:jc w:val="both"/>
        <w:rPr>
          <w:rFonts w:ascii="Tahoma" w:hAnsi="Tahoma" w:cs="Tahoma"/>
        </w:rPr>
      </w:pPr>
      <w:r w:rsidRPr="00342BE0">
        <w:rPr>
          <w:rFonts w:ascii="Tahoma" w:hAnsi="Tahoma" w:cs="Tahoma"/>
        </w:rPr>
        <w:t>2020 owszem, przyniósł szok, perturbacje i zamieszanie, ale psychiczne skutki pandemii odczuliśmy dotkliwie w 2021 roku – tym bardziej, że końca pandemii nie widać, że wiemy już, że w pewnym sensie z wirusem Covid-19 będziemy musieli nauczyć się żyć i że powrót do normalności ciągle się oddala. Nie ma przypadku w tym, że cierpi na tym nasze zdrowie, zarówno psychiczne jak i fizyczne, co stanowi poważne wyzwanie dla liderów w kontekście zarządzania ludźmi, ale także z punktu widzenia osobistych kompetencji w zakresie budowania własnej odpornosci psychicznej oraz radzenia sobie z jej deficytami u innych.</w:t>
      </w:r>
    </w:p>
    <w:p w14:paraId="6BA16548" w14:textId="77777777" w:rsidR="00342BE0" w:rsidRPr="00342BE0" w:rsidRDefault="00342BE0" w:rsidP="00342BE0">
      <w:pPr>
        <w:jc w:val="both"/>
        <w:rPr>
          <w:rFonts w:ascii="Tahoma" w:hAnsi="Tahoma" w:cs="Tahoma"/>
        </w:rPr>
      </w:pPr>
      <w:r w:rsidRPr="00342BE0">
        <w:rPr>
          <w:rFonts w:ascii="Tahoma" w:hAnsi="Tahoma" w:cs="Tahoma"/>
        </w:rPr>
        <w:t>Trudno zatem podsumować rok 2021 bez zwrócenia uwagi na pojawienie się konieczności stworzenia zrównoważonych warunków pracy, takich które zaspokajają podstawowe potrzeby pracowników i umożliwiają im rozwój i samorealizację w tych jakże trudnych warunkach totalnej destabilizacji. W ciągu ostatnich 12 miesięcy liderzy musieli nauczyć się rozmawiać o zdrowiu psychicznym, zaglądali jak nigdy wcześniej do mieszkań swoich pracowników, poznawali ich rodziny i jakże często stykali się z ich całkiem osobistymi problemami. To wyznaczyło zaistnienie nowej jakości w zawodowych relacjach, jakości nie dla każdego lidera kompetencyjnie dostępnej.</w:t>
      </w:r>
    </w:p>
    <w:p w14:paraId="29B77E35" w14:textId="77777777" w:rsidR="00342BE0" w:rsidRPr="00342BE0" w:rsidRDefault="00342BE0" w:rsidP="00342BE0">
      <w:pPr>
        <w:jc w:val="both"/>
        <w:rPr>
          <w:rFonts w:ascii="Tahoma" w:hAnsi="Tahoma" w:cs="Tahoma"/>
        </w:rPr>
      </w:pPr>
      <w:r w:rsidRPr="00342BE0">
        <w:rPr>
          <w:rFonts w:ascii="Tahoma" w:hAnsi="Tahoma" w:cs="Tahoma"/>
        </w:rPr>
        <w:t xml:space="preserve">Osobna kwestia to postępująca w 2021 roku rotacja pracowników, obecnie bardzo wyraźnie dostrzegana w Stanach Zjednoczonych. Menedżerowie muszą radzić sobie z tym, że pracownicy przychodzą i odchodzą i w dużej mierze wynika to z tego, że warunki pracy nie są zrównoważone. Zadbanie o </w:t>
      </w:r>
      <w:r w:rsidRPr="00342BE0">
        <w:rPr>
          <w:rFonts w:ascii="Tahoma" w:hAnsi="Tahoma" w:cs="Tahoma"/>
          <w:i/>
          <w:iCs/>
        </w:rPr>
        <w:t>sustainability of work</w:t>
      </w:r>
      <w:r w:rsidRPr="00342BE0">
        <w:rPr>
          <w:rFonts w:ascii="Tahoma" w:hAnsi="Tahoma" w:cs="Tahoma"/>
        </w:rPr>
        <w:t xml:space="preserve"> było jednym z najważniejszych wyzwań 2021 roku i z pewnością pozostanie nim w nadchodzących latach. </w:t>
      </w:r>
    </w:p>
    <w:p w14:paraId="7F718540" w14:textId="77777777" w:rsidR="00342BE0" w:rsidRPr="00342BE0" w:rsidRDefault="00342BE0" w:rsidP="00342BE0">
      <w:pPr>
        <w:spacing w:after="0"/>
        <w:jc w:val="right"/>
        <w:rPr>
          <w:rFonts w:ascii="Tahoma" w:hAnsi="Tahoma" w:cs="Tahoma"/>
          <w:b/>
          <w:bCs/>
          <w:color w:val="2F5496" w:themeColor="accent1" w:themeShade="BF"/>
        </w:rPr>
      </w:pP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rPr>
        <w:tab/>
      </w:r>
      <w:r w:rsidRPr="00342BE0">
        <w:rPr>
          <w:rFonts w:ascii="Tahoma" w:hAnsi="Tahoma" w:cs="Tahoma"/>
          <w:b/>
          <w:bCs/>
          <w:color w:val="2F5496" w:themeColor="accent1" w:themeShade="BF"/>
        </w:rPr>
        <w:t>Anna Radzikowska</w:t>
      </w:r>
    </w:p>
    <w:p w14:paraId="4111EBD3" w14:textId="77777777" w:rsidR="00342BE0" w:rsidRPr="00342BE0" w:rsidRDefault="00342BE0" w:rsidP="00342BE0">
      <w:pPr>
        <w:spacing w:after="0"/>
        <w:jc w:val="right"/>
        <w:rPr>
          <w:rFonts w:ascii="Tahoma" w:hAnsi="Tahoma" w:cs="Tahoma"/>
          <w:b/>
          <w:bCs/>
          <w:color w:val="2F5496" w:themeColor="accent1" w:themeShade="BF"/>
        </w:rPr>
      </w:pPr>
      <w:r w:rsidRPr="00342BE0">
        <w:rPr>
          <w:rFonts w:ascii="Tahoma" w:hAnsi="Tahoma" w:cs="Tahoma"/>
          <w:b/>
          <w:bCs/>
          <w:color w:val="2F5496" w:themeColor="accent1" w:themeShade="BF"/>
        </w:rPr>
        <w:t xml:space="preserve">Executive Coach </w:t>
      </w:r>
    </w:p>
    <w:p w14:paraId="6790D5FE" w14:textId="77777777" w:rsidR="00342BE0" w:rsidRPr="00342BE0" w:rsidRDefault="00342BE0" w:rsidP="00342BE0">
      <w:pPr>
        <w:spacing w:after="0"/>
        <w:jc w:val="right"/>
        <w:rPr>
          <w:rFonts w:ascii="Tahoma" w:hAnsi="Tahoma" w:cs="Tahoma"/>
          <w:b/>
          <w:bCs/>
          <w:color w:val="2F5496" w:themeColor="accent1" w:themeShade="BF"/>
        </w:rPr>
      </w:pPr>
      <w:r w:rsidRPr="00342BE0">
        <w:rPr>
          <w:rFonts w:ascii="Tahoma" w:hAnsi="Tahoma" w:cs="Tahoma"/>
          <w:b/>
          <w:bCs/>
          <w:color w:val="2F5496" w:themeColor="accent1" w:themeShade="BF"/>
        </w:rPr>
        <w:t>i wykładowczyni w Szkole Biznesu Politechniki Warszawskiej</w:t>
      </w:r>
    </w:p>
    <w:p w14:paraId="173E8EE6" w14:textId="77777777" w:rsidR="001D1A90" w:rsidRPr="00342BE0" w:rsidRDefault="001D1A90" w:rsidP="00BD32B0">
      <w:pPr>
        <w:jc w:val="both"/>
        <w:rPr>
          <w:rFonts w:ascii="Tahoma" w:hAnsi="Tahoma" w:cs="Tahoma"/>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lastRenderedPageBreak/>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C67BFC" w:rsidP="00BD32B0">
      <w:pPr>
        <w:spacing w:after="0" w:line="276" w:lineRule="auto"/>
        <w:jc w:val="both"/>
        <w:rPr>
          <w:rFonts w:ascii="Tahoma" w:hAnsi="Tahoma" w:cs="Tahoma"/>
          <w:b/>
          <w:color w:val="2F5496" w:themeColor="accent1" w:themeShade="BF"/>
        </w:rPr>
      </w:pPr>
      <w:hyperlink r:id="rId8"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48DC406B"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p w14:paraId="44A01273" w14:textId="77777777" w:rsidR="0008436F" w:rsidRPr="00621302" w:rsidRDefault="0008436F" w:rsidP="00BD32B0">
      <w:pPr>
        <w:spacing w:line="276" w:lineRule="auto"/>
        <w:jc w:val="both"/>
        <w:rPr>
          <w:rFonts w:ascii="Tahoma" w:hAnsi="Tahoma" w:cs="Tahoma"/>
          <w:color w:val="2F5496" w:themeColor="accent1" w:themeShade="BF"/>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BD0D" w14:textId="77777777" w:rsidR="00C67BFC" w:rsidRDefault="00C67BFC" w:rsidP="00D84CB4">
      <w:pPr>
        <w:spacing w:after="0" w:line="240" w:lineRule="auto"/>
      </w:pPr>
      <w:r>
        <w:separator/>
      </w:r>
    </w:p>
  </w:endnote>
  <w:endnote w:type="continuationSeparator" w:id="0">
    <w:p w14:paraId="3EEE31C7" w14:textId="77777777" w:rsidR="00C67BFC" w:rsidRDefault="00C67BFC"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F765" w14:textId="77777777" w:rsidR="00C67BFC" w:rsidRDefault="00C67BFC" w:rsidP="00D84CB4">
      <w:pPr>
        <w:spacing w:after="0" w:line="240" w:lineRule="auto"/>
      </w:pPr>
      <w:r>
        <w:separator/>
      </w:r>
    </w:p>
  </w:footnote>
  <w:footnote w:type="continuationSeparator" w:id="0">
    <w:p w14:paraId="21E29225" w14:textId="77777777" w:rsidR="00C67BFC" w:rsidRDefault="00C67BFC"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1F88"/>
    <w:rsid w:val="00153F26"/>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E54B0"/>
    <w:rsid w:val="008F1025"/>
    <w:rsid w:val="00912499"/>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32A79"/>
    <w:rsid w:val="00C42447"/>
    <w:rsid w:val="00C462FE"/>
    <w:rsid w:val="00C67BFC"/>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5ED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934</Words>
  <Characters>5605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15</cp:revision>
  <cp:lastPrinted>2019-03-28T13:21:00Z</cp:lastPrinted>
  <dcterms:created xsi:type="dcterms:W3CDTF">2021-11-18T08:07:00Z</dcterms:created>
  <dcterms:modified xsi:type="dcterms:W3CDTF">2021-12-30T07:22:00Z</dcterms:modified>
</cp:coreProperties>
</file>