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044BA911" w:rsidR="00326BFE" w:rsidRPr="000B0128" w:rsidRDefault="00326BFE" w:rsidP="00BD32B0">
      <w:pPr>
        <w:spacing w:line="276" w:lineRule="auto"/>
        <w:jc w:val="right"/>
        <w:rPr>
          <w:rFonts w:ascii="Tahoma" w:hAnsi="Tahoma" w:cs="Tahoma"/>
        </w:rPr>
      </w:pPr>
      <w:r w:rsidRPr="000B0128">
        <w:rPr>
          <w:rFonts w:ascii="Tahoma" w:hAnsi="Tahoma" w:cs="Tahoma"/>
        </w:rPr>
        <w:t xml:space="preserve">Warszawa, </w:t>
      </w:r>
      <w:r w:rsidR="0015407D">
        <w:rPr>
          <w:rFonts w:ascii="Tahoma" w:hAnsi="Tahoma" w:cs="Tahoma"/>
        </w:rPr>
        <w:t>19</w:t>
      </w:r>
      <w:r w:rsidR="002721DA" w:rsidRPr="000B0128">
        <w:rPr>
          <w:rFonts w:ascii="Tahoma" w:hAnsi="Tahoma" w:cs="Tahoma"/>
        </w:rPr>
        <w:t xml:space="preserve"> </w:t>
      </w:r>
      <w:r w:rsidR="0015407D">
        <w:rPr>
          <w:rFonts w:ascii="Tahoma" w:hAnsi="Tahoma" w:cs="Tahoma"/>
        </w:rPr>
        <w:t>styczn</w:t>
      </w:r>
      <w:r w:rsidR="002F4F27">
        <w:rPr>
          <w:rFonts w:ascii="Tahoma" w:hAnsi="Tahoma" w:cs="Tahoma"/>
        </w:rPr>
        <w:t>i</w:t>
      </w:r>
      <w:r w:rsidR="0015407D">
        <w:rPr>
          <w:rFonts w:ascii="Tahoma" w:hAnsi="Tahoma" w:cs="Tahoma"/>
        </w:rPr>
        <w:t>a</w:t>
      </w:r>
      <w:r w:rsidR="002721DA" w:rsidRPr="000B0128">
        <w:rPr>
          <w:rFonts w:ascii="Tahoma" w:hAnsi="Tahoma" w:cs="Tahoma"/>
        </w:rPr>
        <w:t xml:space="preserve"> </w:t>
      </w:r>
      <w:r w:rsidRPr="000B0128">
        <w:rPr>
          <w:rFonts w:ascii="Tahoma" w:hAnsi="Tahoma" w:cs="Tahoma"/>
        </w:rPr>
        <w:t>20</w:t>
      </w:r>
      <w:r w:rsidR="000F1016" w:rsidRPr="000B0128">
        <w:rPr>
          <w:rFonts w:ascii="Tahoma" w:hAnsi="Tahoma" w:cs="Tahoma"/>
        </w:rPr>
        <w:t>2</w:t>
      </w:r>
      <w:r w:rsidR="0015407D">
        <w:rPr>
          <w:rFonts w:ascii="Tahoma" w:hAnsi="Tahoma" w:cs="Tahoma"/>
        </w:rPr>
        <w:t>2</w:t>
      </w:r>
      <w:r w:rsidRPr="000B0128">
        <w:rPr>
          <w:rFonts w:ascii="Tahoma" w:hAnsi="Tahoma" w:cs="Tahoma"/>
        </w:rPr>
        <w:t xml:space="preserve"> r. </w:t>
      </w:r>
    </w:p>
    <w:p w14:paraId="22E7E3E2" w14:textId="77777777" w:rsidR="00B6516C" w:rsidRPr="000B0128" w:rsidRDefault="00B6516C" w:rsidP="00BD32B0">
      <w:pPr>
        <w:spacing w:line="276" w:lineRule="auto"/>
        <w:jc w:val="both"/>
        <w:rPr>
          <w:rFonts w:ascii="Tahoma" w:hAnsi="Tahoma" w:cs="Tahoma"/>
          <w:b/>
          <w:bCs/>
        </w:rPr>
      </w:pPr>
    </w:p>
    <w:p w14:paraId="6EF7E77A" w14:textId="61C64FD5" w:rsidR="00574E7A" w:rsidRPr="000B0128" w:rsidRDefault="002F4F27" w:rsidP="00BD32B0">
      <w:pPr>
        <w:spacing w:line="276" w:lineRule="auto"/>
        <w:jc w:val="both"/>
        <w:rPr>
          <w:rFonts w:ascii="Tahoma" w:hAnsi="Tahoma" w:cs="Tahoma"/>
        </w:rPr>
      </w:pPr>
      <w:r>
        <w:rPr>
          <w:rFonts w:ascii="Tahoma" w:hAnsi="Tahoma" w:cs="Tahoma"/>
        </w:rPr>
        <w:t>Komentarz</w:t>
      </w:r>
    </w:p>
    <w:p w14:paraId="070B45BD" w14:textId="5C640D14" w:rsidR="002721DA" w:rsidRDefault="002721DA" w:rsidP="00BD32B0">
      <w:pPr>
        <w:spacing w:line="276" w:lineRule="auto"/>
        <w:jc w:val="both"/>
        <w:rPr>
          <w:rFonts w:ascii="Tahoma" w:hAnsi="Tahoma" w:cs="Tahoma"/>
          <w:b/>
          <w:bCs/>
        </w:rPr>
      </w:pPr>
    </w:p>
    <w:p w14:paraId="18D9F4F3" w14:textId="31964E06" w:rsidR="00C22B01" w:rsidRPr="00C22B01" w:rsidRDefault="00C22B01" w:rsidP="00C22B01">
      <w:pPr>
        <w:jc w:val="center"/>
        <w:rPr>
          <w:rFonts w:ascii="Tahoma" w:hAnsi="Tahoma" w:cs="Tahoma"/>
          <w:b/>
          <w:bCs/>
          <w:color w:val="2F5496" w:themeColor="accent1" w:themeShade="BF"/>
          <w:sz w:val="32"/>
          <w:szCs w:val="32"/>
        </w:rPr>
      </w:pPr>
      <w:r w:rsidRPr="00C22B01">
        <w:rPr>
          <w:rFonts w:ascii="Tahoma" w:hAnsi="Tahoma" w:cs="Tahoma"/>
          <w:b/>
          <w:bCs/>
          <w:color w:val="2F5496" w:themeColor="accent1" w:themeShade="BF"/>
          <w:sz w:val="32"/>
          <w:szCs w:val="32"/>
        </w:rPr>
        <w:t>Kiepski moment dla „Polskiego Ładu”</w:t>
      </w:r>
    </w:p>
    <w:p w14:paraId="7C96BEE7" w14:textId="77777777" w:rsidR="00C22B01" w:rsidRPr="00C22B01" w:rsidRDefault="00C22B01" w:rsidP="00C22B01">
      <w:pPr>
        <w:jc w:val="both"/>
        <w:rPr>
          <w:rFonts w:ascii="Tahoma" w:hAnsi="Tahoma" w:cs="Tahoma"/>
          <w:b/>
          <w:bCs/>
          <w:sz w:val="24"/>
          <w:szCs w:val="24"/>
        </w:rPr>
      </w:pPr>
      <w:r w:rsidRPr="00C22B01">
        <w:rPr>
          <w:rFonts w:ascii="Tahoma" w:hAnsi="Tahoma" w:cs="Tahoma"/>
          <w:b/>
          <w:bCs/>
          <w:sz w:val="24"/>
          <w:szCs w:val="24"/>
        </w:rPr>
        <w:t>Na początku roku rząd wprowadził szeroko reklamowany „Polski Ład”, czyli program reform podatkowych, które mają wyraźnie zwiększyć progresywność opodatkowania.  Osoby o niższych dochodach mają zapłacić mniej niż dotąd, osoby o wyższych dochodach więcej.  Dla wszystkich znajdujących się pośrodku efekt zmian ma być neutralny, dzięki wprowadzonym ulgom – pisze prof. Witold M. Orłowski, ekonomista i wykładowca w Szkole Biznesu Politechniki Warszawskiej.</w:t>
      </w:r>
    </w:p>
    <w:p w14:paraId="3E269FB3" w14:textId="77777777" w:rsidR="00C22B01" w:rsidRPr="00C22B01" w:rsidRDefault="00C22B01" w:rsidP="00C22B01">
      <w:pPr>
        <w:jc w:val="both"/>
        <w:rPr>
          <w:rFonts w:ascii="Tahoma" w:hAnsi="Tahoma" w:cs="Tahoma"/>
          <w:b/>
          <w:bCs/>
          <w:sz w:val="24"/>
          <w:szCs w:val="24"/>
        </w:rPr>
      </w:pPr>
      <w:r w:rsidRPr="00C22B01">
        <w:rPr>
          <w:rFonts w:ascii="Tahoma" w:hAnsi="Tahoma" w:cs="Tahoma"/>
          <w:b/>
          <w:bCs/>
          <w:sz w:val="24"/>
          <w:szCs w:val="24"/>
        </w:rPr>
        <w:t>Kilka rzeczy nie ulega wątpliwości</w:t>
      </w:r>
    </w:p>
    <w:p w14:paraId="6AC97290" w14:textId="77777777" w:rsidR="00C22B01" w:rsidRPr="00C22B01" w:rsidRDefault="00C22B01" w:rsidP="00C22B01">
      <w:pPr>
        <w:jc w:val="both"/>
        <w:rPr>
          <w:rFonts w:ascii="Tahoma" w:hAnsi="Tahoma" w:cs="Tahoma"/>
          <w:sz w:val="24"/>
          <w:szCs w:val="24"/>
        </w:rPr>
      </w:pPr>
      <w:r w:rsidRPr="00C22B01">
        <w:rPr>
          <w:rFonts w:ascii="Tahoma" w:hAnsi="Tahoma" w:cs="Tahoma"/>
          <w:sz w:val="24"/>
          <w:szCs w:val="24"/>
        </w:rPr>
        <w:t>Po pierwsze, wprowadzenie zmian w redystrybucji dochodów jest oczywiście prawem rządzących.  Z punktu widzenia polityki społecznej można zresztą łatwo znaleźć uzasadnienie dla takich zmian.</w:t>
      </w:r>
    </w:p>
    <w:p w14:paraId="4D3CE4AA" w14:textId="77777777" w:rsidR="00C22B01" w:rsidRPr="00C22B01" w:rsidRDefault="00C22B01" w:rsidP="00C22B01">
      <w:pPr>
        <w:jc w:val="both"/>
        <w:rPr>
          <w:rFonts w:ascii="Tahoma" w:hAnsi="Tahoma" w:cs="Tahoma"/>
          <w:sz w:val="24"/>
          <w:szCs w:val="24"/>
        </w:rPr>
      </w:pPr>
      <w:r w:rsidRPr="00C22B01">
        <w:rPr>
          <w:rFonts w:ascii="Tahoma" w:hAnsi="Tahoma" w:cs="Tahoma"/>
          <w:sz w:val="24"/>
          <w:szCs w:val="24"/>
        </w:rPr>
        <w:t>Po drugie, program stanowi znacznie mniejszą zmianę, niż stara się to przedstawić rząd.  Szeroko głoszonym hasłom o „korzyściach dla ponad 90% podatników” z tytułu zmian w PIT, towarzyszy znacznie mniej nagłośniony silny wzrost obciążenia składką zdrowotną.  Jak się wydaje, na zmianach zyska i straci raczej po połowie podatników, a nie mityczne „ponad 90%”.</w:t>
      </w:r>
    </w:p>
    <w:p w14:paraId="341D2C65" w14:textId="77777777" w:rsidR="00C22B01" w:rsidRPr="00C22B01" w:rsidRDefault="00C22B01" w:rsidP="00C22B01">
      <w:pPr>
        <w:jc w:val="both"/>
        <w:rPr>
          <w:rFonts w:ascii="Tahoma" w:hAnsi="Tahoma" w:cs="Tahoma"/>
          <w:sz w:val="24"/>
          <w:szCs w:val="24"/>
        </w:rPr>
      </w:pPr>
      <w:r w:rsidRPr="00C22B01">
        <w:rPr>
          <w:rFonts w:ascii="Tahoma" w:hAnsi="Tahoma" w:cs="Tahoma"/>
          <w:sz w:val="24"/>
          <w:szCs w:val="24"/>
        </w:rPr>
        <w:t>Po trzecie, program preferuje przede wszystkim osoby bierne ekonomicznie lub mało aktywne ekonomicznie, kosztem aktywnych.  Z pewnością nie będzie więc stanowić bodźca do szybszego rozwoju gospodarczego.</w:t>
      </w:r>
    </w:p>
    <w:p w14:paraId="5E3CE1FA" w14:textId="77777777" w:rsidR="00C22B01" w:rsidRPr="00C22B01" w:rsidRDefault="00C22B01" w:rsidP="00C22B01">
      <w:pPr>
        <w:jc w:val="both"/>
        <w:rPr>
          <w:rFonts w:ascii="Tahoma" w:hAnsi="Tahoma" w:cs="Tahoma"/>
          <w:sz w:val="24"/>
          <w:szCs w:val="24"/>
        </w:rPr>
      </w:pPr>
      <w:r w:rsidRPr="00C22B01">
        <w:rPr>
          <w:rFonts w:ascii="Tahoma" w:hAnsi="Tahoma" w:cs="Tahoma"/>
          <w:sz w:val="24"/>
          <w:szCs w:val="24"/>
        </w:rPr>
        <w:t>Po czwarte, program został przygotowany wyjątkowo niestarannie, co zaowocowało wyższymi zaliczkami na podatek dochodowy w styczniu nawet u części spośród tych osób, które powinny ostatecznie na zmianach skorzystać.</w:t>
      </w:r>
    </w:p>
    <w:p w14:paraId="60B61201" w14:textId="77777777" w:rsidR="00C22B01" w:rsidRPr="00C22B01" w:rsidRDefault="00C22B01" w:rsidP="00C22B01">
      <w:pPr>
        <w:jc w:val="both"/>
        <w:rPr>
          <w:rFonts w:ascii="Tahoma" w:hAnsi="Tahoma" w:cs="Tahoma"/>
          <w:b/>
          <w:bCs/>
          <w:sz w:val="24"/>
          <w:szCs w:val="24"/>
        </w:rPr>
      </w:pPr>
      <w:r w:rsidRPr="00C22B01">
        <w:rPr>
          <w:rFonts w:ascii="Tahoma" w:hAnsi="Tahoma" w:cs="Tahoma"/>
          <w:b/>
          <w:bCs/>
          <w:sz w:val="24"/>
          <w:szCs w:val="24"/>
        </w:rPr>
        <w:t>Najgorszy możliwy moment</w:t>
      </w:r>
    </w:p>
    <w:p w14:paraId="43DD9691" w14:textId="77777777" w:rsidR="00C22B01" w:rsidRPr="00C22B01" w:rsidRDefault="00C22B01" w:rsidP="00C22B01">
      <w:pPr>
        <w:jc w:val="both"/>
        <w:rPr>
          <w:rFonts w:ascii="Tahoma" w:hAnsi="Tahoma" w:cs="Tahoma"/>
          <w:sz w:val="24"/>
          <w:szCs w:val="24"/>
        </w:rPr>
      </w:pPr>
      <w:r w:rsidRPr="00C22B01">
        <w:rPr>
          <w:rFonts w:ascii="Tahoma" w:hAnsi="Tahoma" w:cs="Tahoma"/>
          <w:sz w:val="24"/>
          <w:szCs w:val="24"/>
        </w:rPr>
        <w:t>No i wreszcie po piąte: program jest wprowadzany prawdopodobnie w najgorszym momencie, jaki można sobie było wybrać.</w:t>
      </w:r>
    </w:p>
    <w:p w14:paraId="26E6093A" w14:textId="77777777" w:rsidR="00C22B01" w:rsidRPr="00C22B01" w:rsidRDefault="00C22B01" w:rsidP="00C22B01">
      <w:pPr>
        <w:jc w:val="both"/>
        <w:rPr>
          <w:rFonts w:ascii="Tahoma" w:hAnsi="Tahoma" w:cs="Tahoma"/>
          <w:sz w:val="24"/>
          <w:szCs w:val="24"/>
        </w:rPr>
      </w:pPr>
      <w:r w:rsidRPr="00C22B01">
        <w:rPr>
          <w:rFonts w:ascii="Tahoma" w:hAnsi="Tahoma" w:cs="Tahoma"/>
          <w:sz w:val="24"/>
          <w:szCs w:val="24"/>
        </w:rPr>
        <w:t xml:space="preserve">Przede wszystkim mamy do czynienia z bardzo niestabilną i niepewną sytuacją gospodarczą.  Już wyraźnie widać, że nie możemy spodziewać się końca pandemii, a chaotyczna polityka zdrowotna każe obawiać się możliwych kolejnych lockdownów.  Gorzej niż mogło się wydawać wyglądają też perspektywy wzrostu gospodarczego.  We wszystkich sektorach gospodarki nastąpiło w ostatnich miesiącach znaczące pogorszenie oczekiwań dotyczących przyszłej koniunktury, </w:t>
      </w:r>
      <w:r w:rsidRPr="00C22B01">
        <w:rPr>
          <w:rFonts w:ascii="Tahoma" w:hAnsi="Tahoma" w:cs="Tahoma"/>
          <w:sz w:val="24"/>
          <w:szCs w:val="24"/>
        </w:rPr>
        <w:lastRenderedPageBreak/>
        <w:t>jak się wydaje głównie z powodu obaw inflacyjnych, drastycznego wzrostu cen energii i niepewnych perspektyw napływu środków z funduszy Unii Europejskiej.</w:t>
      </w:r>
    </w:p>
    <w:p w14:paraId="61FCB3A9" w14:textId="77777777" w:rsidR="00C22B01" w:rsidRPr="00C22B01" w:rsidRDefault="00C22B01" w:rsidP="00C22B01">
      <w:pPr>
        <w:jc w:val="both"/>
        <w:rPr>
          <w:rFonts w:ascii="Tahoma" w:hAnsi="Tahoma" w:cs="Tahoma"/>
          <w:b/>
          <w:bCs/>
          <w:sz w:val="24"/>
          <w:szCs w:val="24"/>
        </w:rPr>
      </w:pPr>
      <w:r w:rsidRPr="00C22B01">
        <w:rPr>
          <w:rFonts w:ascii="Tahoma" w:hAnsi="Tahoma" w:cs="Tahoma"/>
          <w:b/>
          <w:bCs/>
          <w:sz w:val="24"/>
          <w:szCs w:val="24"/>
        </w:rPr>
        <w:t>Kwestia inflacji największą wątpliwością</w:t>
      </w:r>
    </w:p>
    <w:p w14:paraId="36854013" w14:textId="77777777" w:rsidR="00C22B01" w:rsidRPr="00C22B01" w:rsidRDefault="00C22B01" w:rsidP="00C22B01">
      <w:pPr>
        <w:jc w:val="both"/>
        <w:rPr>
          <w:rFonts w:ascii="Tahoma" w:hAnsi="Tahoma" w:cs="Tahoma"/>
          <w:sz w:val="24"/>
          <w:szCs w:val="24"/>
        </w:rPr>
      </w:pPr>
      <w:r w:rsidRPr="00C22B01">
        <w:rPr>
          <w:rFonts w:ascii="Tahoma" w:hAnsi="Tahoma" w:cs="Tahoma"/>
          <w:sz w:val="24"/>
          <w:szCs w:val="24"/>
        </w:rPr>
        <w:t>Największa niepewność dotyczy niewątpliwie sfery inflacji.  Systematycznie podwyższane prognozy rządu i NBP mówią już o inflacji, która może być dwucyfrowa.  W reakcji na to bank centralny podniósł już znacząco stopy procentowe, i sugeruje ich znaczny, dalszy wzrost w przyszłości (być może aż do poziomu bliskiego inflacji, a więc o kilka punktów procentowych).  Z kolei rząd wprowadził dwie kolejne „tarcze antyinflacyjne”, dzięki którym inflacja ma ulec czasowemu ograniczeniu.  Czasowemu, bowiem głównym narzędziem są obniżki, na kilka miesięcy, cenotwórczych podatków.  Na ile skuteczne okażą się te tarcze, dopiero zobaczymy.  Problem leży w tym, że wprowadzone rozwiązania, a także wdrażany w tym samym czasie „Polski Ład”, będą prowadzić do wzrostu ilości pieniędzy na rynku i wzrostu deficytu finansów publicznych.  Istnieje więc zagrożenie, że w momencie gdy tarcze przestaną działać, inflacja może powrócić z większą siłą.  A wszelkie korzyści, jakie część podatników może odczuć z powodu „Polskiego Ładu” znikną w wyniku wzrostu cen.</w:t>
      </w:r>
    </w:p>
    <w:p w14:paraId="740C2E5F" w14:textId="125BEF0C" w:rsidR="00C22B01" w:rsidRDefault="00C22B01" w:rsidP="00C22B01">
      <w:pPr>
        <w:spacing w:after="0"/>
        <w:jc w:val="right"/>
        <w:rPr>
          <w:rFonts w:ascii="Tahoma" w:hAnsi="Tahoma" w:cs="Tahoma"/>
          <w:b/>
          <w:bCs/>
          <w:color w:val="2F5496" w:themeColor="accent1" w:themeShade="BF"/>
          <w:sz w:val="24"/>
          <w:szCs w:val="24"/>
        </w:rPr>
      </w:pPr>
      <w:r w:rsidRPr="00C22B01">
        <w:rPr>
          <w:rFonts w:ascii="Tahoma" w:hAnsi="Tahoma" w:cs="Tahoma"/>
          <w:b/>
          <w:bCs/>
          <w:color w:val="2F5496" w:themeColor="accent1" w:themeShade="BF"/>
          <w:sz w:val="24"/>
          <w:szCs w:val="24"/>
        </w:rPr>
        <w:t>prof. Witold M. Orłowski</w:t>
      </w:r>
    </w:p>
    <w:p w14:paraId="6057C086" w14:textId="2092B9DD" w:rsidR="00C22B01" w:rsidRDefault="00C22B01" w:rsidP="00C22B01">
      <w:pPr>
        <w:spacing w:after="0"/>
        <w:jc w:val="right"/>
        <w:rPr>
          <w:rFonts w:ascii="Tahoma" w:hAnsi="Tahoma" w:cs="Tahoma"/>
          <w:b/>
          <w:bCs/>
          <w:color w:val="2F5496" w:themeColor="accent1" w:themeShade="BF"/>
          <w:sz w:val="24"/>
          <w:szCs w:val="24"/>
        </w:rPr>
      </w:pPr>
      <w:r w:rsidRPr="00C22B01">
        <w:rPr>
          <w:rFonts w:ascii="Tahoma" w:hAnsi="Tahoma" w:cs="Tahoma"/>
          <w:b/>
          <w:bCs/>
          <w:color w:val="2F5496" w:themeColor="accent1" w:themeShade="BF"/>
          <w:sz w:val="24"/>
          <w:szCs w:val="24"/>
        </w:rPr>
        <w:t xml:space="preserve">ekonomista i wykładowca </w:t>
      </w:r>
    </w:p>
    <w:p w14:paraId="5E23A0CF" w14:textId="38423E2B" w:rsidR="00C22B01" w:rsidRPr="00C22B01" w:rsidRDefault="00C22B01" w:rsidP="00C22B01">
      <w:pPr>
        <w:spacing w:after="0"/>
        <w:jc w:val="right"/>
        <w:rPr>
          <w:rFonts w:ascii="Tahoma" w:hAnsi="Tahoma" w:cs="Tahoma"/>
          <w:color w:val="2F5496" w:themeColor="accent1" w:themeShade="BF"/>
          <w:sz w:val="24"/>
          <w:szCs w:val="24"/>
        </w:rPr>
      </w:pPr>
      <w:r w:rsidRPr="00C22B01">
        <w:rPr>
          <w:rFonts w:ascii="Tahoma" w:hAnsi="Tahoma" w:cs="Tahoma"/>
          <w:b/>
          <w:bCs/>
          <w:color w:val="2F5496" w:themeColor="accent1" w:themeShade="BF"/>
          <w:sz w:val="24"/>
          <w:szCs w:val="24"/>
        </w:rPr>
        <w:t>w Szkole Biznesu Politechniki Warszawskiej</w:t>
      </w:r>
    </w:p>
    <w:p w14:paraId="6790D5FE" w14:textId="4A0E121E" w:rsidR="00342BE0" w:rsidRPr="00342BE0" w:rsidRDefault="00342BE0" w:rsidP="00342BE0">
      <w:pPr>
        <w:spacing w:after="0"/>
        <w:jc w:val="right"/>
        <w:rPr>
          <w:rFonts w:ascii="Tahoma" w:hAnsi="Tahoma" w:cs="Tahoma"/>
          <w:b/>
          <w:bCs/>
          <w:color w:val="2F5496" w:themeColor="accent1" w:themeShade="BF"/>
        </w:rPr>
      </w:pPr>
    </w:p>
    <w:p w14:paraId="173E8EE6" w14:textId="77777777" w:rsidR="001D1A90" w:rsidRPr="00342BE0" w:rsidRDefault="001D1A90" w:rsidP="00BD32B0">
      <w:pPr>
        <w:jc w:val="both"/>
        <w:rPr>
          <w:rFonts w:ascii="Tahoma" w:hAnsi="Tahoma" w:cs="Tahoma"/>
          <w:b/>
          <w:bCs/>
        </w:rPr>
      </w:pPr>
    </w:p>
    <w:p w14:paraId="0A5BFACB" w14:textId="77777777" w:rsidR="0008436F" w:rsidRPr="001821E5" w:rsidRDefault="0008436F" w:rsidP="00BD32B0">
      <w:pPr>
        <w:spacing w:line="276" w:lineRule="auto"/>
        <w:jc w:val="both"/>
        <w:rPr>
          <w:rFonts w:ascii="Tahoma" w:hAnsi="Tahoma" w:cs="Tahoma"/>
          <w:b/>
          <w:color w:val="1F497D"/>
        </w:rPr>
      </w:pPr>
      <w:r w:rsidRPr="000B0128">
        <w:rPr>
          <w:rFonts w:ascii="Tahoma" w:hAnsi="Tahoma" w:cs="Tahoma"/>
          <w:b/>
          <w:color w:val="1F497D"/>
        </w:rPr>
        <w:t>***</w:t>
      </w:r>
    </w:p>
    <w:p w14:paraId="05B0E8D5"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O Szkole Biznesu Politechniki Warszawskiej</w:t>
      </w:r>
    </w:p>
    <w:p w14:paraId="6EE0F7DC" w14:textId="77777777" w:rsidR="0008436F" w:rsidRPr="00621302" w:rsidRDefault="0008436F" w:rsidP="00BD32B0">
      <w:pPr>
        <w:spacing w:after="0" w:line="276" w:lineRule="auto"/>
        <w:jc w:val="both"/>
        <w:rPr>
          <w:rFonts w:ascii="Tahoma" w:hAnsi="Tahoma" w:cs="Tahoma"/>
          <w:b/>
          <w:color w:val="2F5496" w:themeColor="accent1" w:themeShade="BF"/>
        </w:rPr>
      </w:pPr>
    </w:p>
    <w:p w14:paraId="4791B3E0"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C1BD3C7" w14:textId="77777777" w:rsidR="0008436F" w:rsidRPr="00621302" w:rsidRDefault="0008436F" w:rsidP="00BD32B0">
      <w:pPr>
        <w:spacing w:line="276" w:lineRule="auto"/>
        <w:jc w:val="both"/>
        <w:rPr>
          <w:rFonts w:ascii="Tahoma" w:hAnsi="Tahoma" w:cs="Tahoma"/>
          <w:b/>
          <w:bCs/>
          <w:color w:val="2F5496" w:themeColor="accent1" w:themeShade="BF"/>
        </w:rPr>
      </w:pPr>
    </w:p>
    <w:p w14:paraId="42984725" w14:textId="77777777" w:rsidR="0008436F" w:rsidRPr="00621302" w:rsidRDefault="0008436F" w:rsidP="00BD32B0">
      <w:pPr>
        <w:spacing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w:t>
      </w:r>
    </w:p>
    <w:p w14:paraId="66EE25B7"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 xml:space="preserve">Kontakt dla mediów: </w:t>
      </w:r>
    </w:p>
    <w:p w14:paraId="5929BE10"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Mariusz Jaroń</w:t>
      </w:r>
    </w:p>
    <w:p w14:paraId="316D4AD3" w14:textId="77777777" w:rsidR="0008436F" w:rsidRPr="00621302" w:rsidRDefault="006E1FA6" w:rsidP="00BD32B0">
      <w:pPr>
        <w:spacing w:after="0" w:line="276" w:lineRule="auto"/>
        <w:jc w:val="both"/>
        <w:rPr>
          <w:rFonts w:ascii="Tahoma" w:hAnsi="Tahoma" w:cs="Tahoma"/>
          <w:b/>
          <w:color w:val="2F5496" w:themeColor="accent1" w:themeShade="BF"/>
        </w:rPr>
      </w:pPr>
      <w:hyperlink r:id="rId8" w:history="1">
        <w:r w:rsidR="0008436F" w:rsidRPr="00621302">
          <w:rPr>
            <w:rStyle w:val="Hipercze"/>
            <w:rFonts w:ascii="Tahoma" w:hAnsi="Tahoma" w:cs="Tahoma"/>
            <w:b/>
            <w:color w:val="2F5496" w:themeColor="accent1" w:themeShade="BF"/>
          </w:rPr>
          <w:t>m.jaron@comunicativo.pl</w:t>
        </w:r>
      </w:hyperlink>
      <w:r w:rsidR="0008436F" w:rsidRPr="00621302">
        <w:rPr>
          <w:rFonts w:ascii="Tahoma" w:hAnsi="Tahoma" w:cs="Tahoma"/>
          <w:b/>
          <w:color w:val="2F5496" w:themeColor="accent1" w:themeShade="BF"/>
        </w:rPr>
        <w:tab/>
      </w:r>
    </w:p>
    <w:p w14:paraId="6C751CA4" w14:textId="6C718344" w:rsidR="001906C0" w:rsidRPr="006E1FA6"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794490680</w:t>
      </w:r>
    </w:p>
    <w:sectPr w:rsidR="001906C0" w:rsidRPr="006E1FA6" w:rsidSect="00444922">
      <w:headerReference w:type="default" r:id="rId9"/>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BD0D" w14:textId="77777777" w:rsidR="00C67BFC" w:rsidRDefault="00C67BFC" w:rsidP="00D84CB4">
      <w:pPr>
        <w:spacing w:after="0" w:line="240" w:lineRule="auto"/>
      </w:pPr>
      <w:r>
        <w:separator/>
      </w:r>
    </w:p>
  </w:endnote>
  <w:endnote w:type="continuationSeparator" w:id="0">
    <w:p w14:paraId="3EEE31C7" w14:textId="77777777" w:rsidR="00C67BFC" w:rsidRDefault="00C67BFC"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F765" w14:textId="77777777" w:rsidR="00C67BFC" w:rsidRDefault="00C67BFC" w:rsidP="00D84CB4">
      <w:pPr>
        <w:spacing w:after="0" w:line="240" w:lineRule="auto"/>
      </w:pPr>
      <w:r>
        <w:separator/>
      </w:r>
    </w:p>
  </w:footnote>
  <w:footnote w:type="continuationSeparator" w:id="0">
    <w:p w14:paraId="21E29225" w14:textId="77777777" w:rsidR="00C67BFC" w:rsidRDefault="00C67BFC"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D91CC0"/>
    <w:multiLevelType w:val="hybridMultilevel"/>
    <w:tmpl w:val="414C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0526A"/>
    <w:rsid w:val="00027602"/>
    <w:rsid w:val="00032AD2"/>
    <w:rsid w:val="0004384F"/>
    <w:rsid w:val="00046D29"/>
    <w:rsid w:val="00054D21"/>
    <w:rsid w:val="0007139B"/>
    <w:rsid w:val="0008436F"/>
    <w:rsid w:val="000B0128"/>
    <w:rsid w:val="000C7C32"/>
    <w:rsid w:val="000E4FD8"/>
    <w:rsid w:val="000F1016"/>
    <w:rsid w:val="00101C69"/>
    <w:rsid w:val="00101DC2"/>
    <w:rsid w:val="001110BB"/>
    <w:rsid w:val="0011134A"/>
    <w:rsid w:val="00130A18"/>
    <w:rsid w:val="00135051"/>
    <w:rsid w:val="00135739"/>
    <w:rsid w:val="001503C5"/>
    <w:rsid w:val="00151F88"/>
    <w:rsid w:val="00153F26"/>
    <w:rsid w:val="0015407D"/>
    <w:rsid w:val="00154A97"/>
    <w:rsid w:val="001609D9"/>
    <w:rsid w:val="001749CC"/>
    <w:rsid w:val="001821E5"/>
    <w:rsid w:val="001906C0"/>
    <w:rsid w:val="0019388D"/>
    <w:rsid w:val="001A2026"/>
    <w:rsid w:val="001B3C94"/>
    <w:rsid w:val="001C7A70"/>
    <w:rsid w:val="001D1327"/>
    <w:rsid w:val="001D1A90"/>
    <w:rsid w:val="001D7F57"/>
    <w:rsid w:val="00201897"/>
    <w:rsid w:val="00212924"/>
    <w:rsid w:val="00224568"/>
    <w:rsid w:val="00236C96"/>
    <w:rsid w:val="00245B32"/>
    <w:rsid w:val="00253E1B"/>
    <w:rsid w:val="00264A27"/>
    <w:rsid w:val="00267196"/>
    <w:rsid w:val="002721DA"/>
    <w:rsid w:val="00272E50"/>
    <w:rsid w:val="002762C6"/>
    <w:rsid w:val="002932D8"/>
    <w:rsid w:val="0029530B"/>
    <w:rsid w:val="002A15E7"/>
    <w:rsid w:val="002A170C"/>
    <w:rsid w:val="002A386C"/>
    <w:rsid w:val="002A4E1F"/>
    <w:rsid w:val="002B4FF5"/>
    <w:rsid w:val="002C0898"/>
    <w:rsid w:val="002D3880"/>
    <w:rsid w:val="002F4F27"/>
    <w:rsid w:val="00301674"/>
    <w:rsid w:val="00314718"/>
    <w:rsid w:val="00326BFE"/>
    <w:rsid w:val="003274A7"/>
    <w:rsid w:val="00327976"/>
    <w:rsid w:val="00332A10"/>
    <w:rsid w:val="0033519E"/>
    <w:rsid w:val="00342BE0"/>
    <w:rsid w:val="00350E78"/>
    <w:rsid w:val="00354467"/>
    <w:rsid w:val="00355695"/>
    <w:rsid w:val="0037323F"/>
    <w:rsid w:val="00380E6C"/>
    <w:rsid w:val="00390574"/>
    <w:rsid w:val="0039301C"/>
    <w:rsid w:val="003940D2"/>
    <w:rsid w:val="003B08AB"/>
    <w:rsid w:val="003B25D9"/>
    <w:rsid w:val="003B5B09"/>
    <w:rsid w:val="003D585B"/>
    <w:rsid w:val="003F6073"/>
    <w:rsid w:val="003F6565"/>
    <w:rsid w:val="004264F8"/>
    <w:rsid w:val="004331EF"/>
    <w:rsid w:val="00433D0C"/>
    <w:rsid w:val="00444922"/>
    <w:rsid w:val="00450EE0"/>
    <w:rsid w:val="00467281"/>
    <w:rsid w:val="004C6712"/>
    <w:rsid w:val="004C6F32"/>
    <w:rsid w:val="004D46C2"/>
    <w:rsid w:val="004D68F3"/>
    <w:rsid w:val="004F0EAC"/>
    <w:rsid w:val="0051001B"/>
    <w:rsid w:val="00515BFE"/>
    <w:rsid w:val="00532D4C"/>
    <w:rsid w:val="0053416C"/>
    <w:rsid w:val="0053524D"/>
    <w:rsid w:val="005371C3"/>
    <w:rsid w:val="00555C5D"/>
    <w:rsid w:val="00566988"/>
    <w:rsid w:val="00570FD5"/>
    <w:rsid w:val="00574E7A"/>
    <w:rsid w:val="00575AAB"/>
    <w:rsid w:val="00593A64"/>
    <w:rsid w:val="005943B6"/>
    <w:rsid w:val="00594C28"/>
    <w:rsid w:val="005A2E7B"/>
    <w:rsid w:val="005A44EC"/>
    <w:rsid w:val="005A4ECA"/>
    <w:rsid w:val="005B686D"/>
    <w:rsid w:val="005C54F8"/>
    <w:rsid w:val="005D4E0D"/>
    <w:rsid w:val="005D5E80"/>
    <w:rsid w:val="005E0E33"/>
    <w:rsid w:val="005F367D"/>
    <w:rsid w:val="005F6B96"/>
    <w:rsid w:val="006173E5"/>
    <w:rsid w:val="00621302"/>
    <w:rsid w:val="00627DFE"/>
    <w:rsid w:val="006456F6"/>
    <w:rsid w:val="00652657"/>
    <w:rsid w:val="006602CE"/>
    <w:rsid w:val="006947E1"/>
    <w:rsid w:val="006955CB"/>
    <w:rsid w:val="006B15ED"/>
    <w:rsid w:val="006B1D38"/>
    <w:rsid w:val="006B3732"/>
    <w:rsid w:val="006B7CC9"/>
    <w:rsid w:val="006C2E24"/>
    <w:rsid w:val="006C4ED6"/>
    <w:rsid w:val="006C7D9B"/>
    <w:rsid w:val="006D7CB7"/>
    <w:rsid w:val="006E1FA6"/>
    <w:rsid w:val="00706E14"/>
    <w:rsid w:val="0071205E"/>
    <w:rsid w:val="00717F41"/>
    <w:rsid w:val="007411AA"/>
    <w:rsid w:val="00744590"/>
    <w:rsid w:val="00755850"/>
    <w:rsid w:val="007A7628"/>
    <w:rsid w:val="007A7E74"/>
    <w:rsid w:val="007B1948"/>
    <w:rsid w:val="007D0432"/>
    <w:rsid w:val="007E30D7"/>
    <w:rsid w:val="007F1533"/>
    <w:rsid w:val="007F25BD"/>
    <w:rsid w:val="00800C0E"/>
    <w:rsid w:val="008105B4"/>
    <w:rsid w:val="00814C51"/>
    <w:rsid w:val="008366C0"/>
    <w:rsid w:val="00865407"/>
    <w:rsid w:val="00887516"/>
    <w:rsid w:val="00892D77"/>
    <w:rsid w:val="008E54B0"/>
    <w:rsid w:val="008F1025"/>
    <w:rsid w:val="00912499"/>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9F6D7A"/>
    <w:rsid w:val="009F7960"/>
    <w:rsid w:val="00A0069E"/>
    <w:rsid w:val="00A00C41"/>
    <w:rsid w:val="00A11B47"/>
    <w:rsid w:val="00A167E0"/>
    <w:rsid w:val="00A35CC7"/>
    <w:rsid w:val="00A35E1B"/>
    <w:rsid w:val="00A379C7"/>
    <w:rsid w:val="00A654B9"/>
    <w:rsid w:val="00A65A6F"/>
    <w:rsid w:val="00A67C2F"/>
    <w:rsid w:val="00A714DA"/>
    <w:rsid w:val="00A94936"/>
    <w:rsid w:val="00A953A5"/>
    <w:rsid w:val="00AB27A6"/>
    <w:rsid w:val="00AB7857"/>
    <w:rsid w:val="00AD49F1"/>
    <w:rsid w:val="00AF13E8"/>
    <w:rsid w:val="00B04805"/>
    <w:rsid w:val="00B11AF1"/>
    <w:rsid w:val="00B13B1A"/>
    <w:rsid w:val="00B15894"/>
    <w:rsid w:val="00B23522"/>
    <w:rsid w:val="00B279A5"/>
    <w:rsid w:val="00B30D34"/>
    <w:rsid w:val="00B5388F"/>
    <w:rsid w:val="00B6516C"/>
    <w:rsid w:val="00B96E6F"/>
    <w:rsid w:val="00BB1621"/>
    <w:rsid w:val="00BB70B2"/>
    <w:rsid w:val="00BC588E"/>
    <w:rsid w:val="00BD09D8"/>
    <w:rsid w:val="00BD2767"/>
    <w:rsid w:val="00BD32B0"/>
    <w:rsid w:val="00BF12AA"/>
    <w:rsid w:val="00C02866"/>
    <w:rsid w:val="00C06651"/>
    <w:rsid w:val="00C1149F"/>
    <w:rsid w:val="00C2159F"/>
    <w:rsid w:val="00C22B01"/>
    <w:rsid w:val="00C32A79"/>
    <w:rsid w:val="00C42447"/>
    <w:rsid w:val="00C462FE"/>
    <w:rsid w:val="00C67BFC"/>
    <w:rsid w:val="00C93137"/>
    <w:rsid w:val="00C95FB5"/>
    <w:rsid w:val="00C971E1"/>
    <w:rsid w:val="00CA344D"/>
    <w:rsid w:val="00CB0BA6"/>
    <w:rsid w:val="00CB0E42"/>
    <w:rsid w:val="00CB16FB"/>
    <w:rsid w:val="00CB17E8"/>
    <w:rsid w:val="00CB1D23"/>
    <w:rsid w:val="00CC1576"/>
    <w:rsid w:val="00CC195D"/>
    <w:rsid w:val="00CC5C40"/>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3A8"/>
    <w:rsid w:val="00D955F3"/>
    <w:rsid w:val="00DE7B16"/>
    <w:rsid w:val="00E12E13"/>
    <w:rsid w:val="00E16AD3"/>
    <w:rsid w:val="00E42E18"/>
    <w:rsid w:val="00E532B8"/>
    <w:rsid w:val="00E5718D"/>
    <w:rsid w:val="00E71C6C"/>
    <w:rsid w:val="00E729F3"/>
    <w:rsid w:val="00E81CCD"/>
    <w:rsid w:val="00E8596F"/>
    <w:rsid w:val="00E902EC"/>
    <w:rsid w:val="00EA02FC"/>
    <w:rsid w:val="00EC1AB2"/>
    <w:rsid w:val="00EC2C1B"/>
    <w:rsid w:val="00ED2729"/>
    <w:rsid w:val="00EF5ED9"/>
    <w:rsid w:val="00EF7E81"/>
    <w:rsid w:val="00F248A2"/>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118765201">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44412010">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 w:id="2039428837">
      <w:bodyDiv w:val="1"/>
      <w:marLeft w:val="0"/>
      <w:marRight w:val="0"/>
      <w:marTop w:val="0"/>
      <w:marBottom w:val="0"/>
      <w:divBdr>
        <w:top w:val="none" w:sz="0" w:space="0" w:color="auto"/>
        <w:left w:val="none" w:sz="0" w:space="0" w:color="auto"/>
        <w:bottom w:val="none" w:sz="0" w:space="0" w:color="auto"/>
        <w:right w:val="none" w:sz="0" w:space="0" w:color="auto"/>
      </w:divBdr>
    </w:div>
    <w:div w:id="20563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3666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4</cp:revision>
  <cp:lastPrinted>2019-03-28T13:21:00Z</cp:lastPrinted>
  <dcterms:created xsi:type="dcterms:W3CDTF">2022-01-19T10:04:00Z</dcterms:created>
  <dcterms:modified xsi:type="dcterms:W3CDTF">2022-01-19T10:04:00Z</dcterms:modified>
</cp:coreProperties>
</file>